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 xml:space="preserve">{{ </w:t>
      </w:r>
      <w:proofErr w:type="spellStart"/>
      <w:r w:rsidR="00E20B0A" w:rsidRPr="00E20B0A">
        <w:t>dogovor_number</w:t>
      </w:r>
      <w:proofErr w:type="spellEnd"/>
      <w:r w:rsidR="00E20B0A" w:rsidRPr="00E20B0A">
        <w:t xml:space="preserve">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>мониторинг  и</w:t>
      </w:r>
      <w:proofErr w:type="gramEnd"/>
      <w:r>
        <w:rPr>
          <w:b/>
          <w:snapToGrid w:val="0"/>
        </w:rPr>
        <w:t xml:space="preserve"> техническое обслуживание средств </w:t>
      </w:r>
      <w:r w:rsidRPr="009A573D">
        <w:rPr>
          <w:b/>
          <w:snapToGrid w:val="0"/>
        </w:rPr>
        <w:t xml:space="preserve">{{ </w:t>
      </w:r>
      <w:proofErr w:type="spellStart"/>
      <w:r w:rsidRPr="009A573D">
        <w:rPr>
          <w:b/>
          <w:snapToGrid w:val="0"/>
        </w:rPr>
        <w:t>vid_sign_polnoe</w:t>
      </w:r>
      <w:proofErr w:type="spellEnd"/>
      <w:r w:rsidRPr="009A573D">
        <w:rPr>
          <w:b/>
          <w:snapToGrid w:val="0"/>
        </w:rPr>
        <w:t xml:space="preserve">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proofErr w:type="spellStart"/>
      <w:r w:rsidRPr="00C64788">
        <w:rPr>
          <w:snapToGrid w:val="0"/>
          <w:sz w:val="22"/>
          <w:szCs w:val="22"/>
        </w:rPr>
        <w:t>г.Алматы</w:t>
      </w:r>
      <w:proofErr w:type="spellEnd"/>
      <w:r w:rsidRPr="00C64788">
        <w:rPr>
          <w:snapToGrid w:val="0"/>
          <w:sz w:val="22"/>
          <w:szCs w:val="22"/>
        </w:rPr>
        <w:t xml:space="preserve">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</w:t>
      </w:r>
      <w:proofErr w:type="gramStart"/>
      <w:r w:rsidR="004C5312" w:rsidRPr="00880C8C">
        <w:rPr>
          <w:snapToGrid w:val="0"/>
          <w:sz w:val="22"/>
          <w:szCs w:val="22"/>
        </w:rPr>
        <w:t xml:space="preserve">   </w:t>
      </w:r>
      <w:r w:rsidR="007070EB" w:rsidRPr="007070EB">
        <w:rPr>
          <w:snapToGrid w:val="0"/>
          <w:sz w:val="22"/>
          <w:szCs w:val="22"/>
        </w:rPr>
        <w:t>{</w:t>
      </w:r>
      <w:proofErr w:type="gramEnd"/>
      <w:r w:rsidR="007070EB" w:rsidRPr="007070EB">
        <w:rPr>
          <w:snapToGrid w:val="0"/>
          <w:sz w:val="22"/>
          <w:szCs w:val="22"/>
        </w:rPr>
        <w:t xml:space="preserve">{ </w:t>
      </w:r>
      <w:proofErr w:type="spellStart"/>
      <w:r w:rsidR="008B3CCE" w:rsidRPr="008B3CCE">
        <w:rPr>
          <w:snapToGrid w:val="0"/>
          <w:sz w:val="22"/>
          <w:szCs w:val="22"/>
        </w:rPr>
        <w:t>date_zakl</w:t>
      </w:r>
      <w:proofErr w:type="spellEnd"/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</w:t>
      </w:r>
      <w:proofErr w:type="spellStart"/>
      <w:r w:rsidR="007070EB" w:rsidRPr="007070EB">
        <w:rPr>
          <w:b/>
          <w:snapToGrid w:val="0"/>
          <w:sz w:val="22"/>
          <w:szCs w:val="22"/>
        </w:rPr>
        <w:t>klient_name</w:t>
      </w:r>
      <w:proofErr w:type="spellEnd"/>
      <w:r w:rsidR="007070EB" w:rsidRPr="007070EB">
        <w:rPr>
          <w:b/>
          <w:snapToGrid w:val="0"/>
          <w:sz w:val="22"/>
          <w:szCs w:val="22"/>
        </w:rPr>
        <w:t xml:space="preserve">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 xml:space="preserve">}} 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}}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 xml:space="preserve">действующего на основании </w:t>
      </w:r>
      <w:r w:rsidR="007733AD" w:rsidRPr="00CB5002">
        <w:rPr>
          <w:snapToGrid w:val="0"/>
          <w:sz w:val="22"/>
          <w:szCs w:val="22"/>
        </w:rPr>
        <w:t>{{</w:t>
      </w:r>
      <w:proofErr w:type="spellStart"/>
      <w:r w:rsidR="007733AD">
        <w:rPr>
          <w:snapToGrid w:val="0"/>
          <w:sz w:val="22"/>
          <w:szCs w:val="22"/>
          <w:lang w:val="en-US"/>
        </w:rPr>
        <w:t>ucereditel</w:t>
      </w:r>
      <w:proofErr w:type="spellEnd"/>
      <w:r w:rsidR="007733AD" w:rsidRPr="00CB5002">
        <w:rPr>
          <w:snapToGrid w:val="0"/>
          <w:sz w:val="22"/>
          <w:szCs w:val="22"/>
        </w:rPr>
        <w:t>_</w:t>
      </w:r>
      <w:r w:rsidR="007733AD">
        <w:rPr>
          <w:snapToGrid w:val="0"/>
          <w:sz w:val="22"/>
          <w:szCs w:val="22"/>
          <w:lang w:val="en-US"/>
        </w:rPr>
        <w:t>doc</w:t>
      </w:r>
      <w:r w:rsidR="007733AD" w:rsidRPr="00CB5002">
        <w:rPr>
          <w:snapToGrid w:val="0"/>
          <w:sz w:val="22"/>
          <w:szCs w:val="22"/>
        </w:rPr>
        <w:t>}}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</w:t>
      </w:r>
      <w:proofErr w:type="spellStart"/>
      <w:r w:rsidR="009F08DF" w:rsidRPr="009F08DF">
        <w:rPr>
          <w:b/>
          <w:snapToGrid w:val="0"/>
          <w:sz w:val="22"/>
          <w:szCs w:val="22"/>
        </w:rPr>
        <w:t>company_name</w:t>
      </w:r>
      <w:proofErr w:type="spellEnd"/>
      <w:r w:rsidR="009F08DF" w:rsidRPr="009F08DF">
        <w:rPr>
          <w:b/>
          <w:snapToGrid w:val="0"/>
          <w:sz w:val="22"/>
          <w:szCs w:val="22"/>
        </w:rPr>
        <w:t>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>{{</w:t>
      </w:r>
      <w:proofErr w:type="spellStart"/>
      <w:r w:rsidR="007F5BF7" w:rsidRPr="007F5BF7">
        <w:rPr>
          <w:b/>
          <w:snapToGrid w:val="0"/>
          <w:sz w:val="22"/>
          <w:szCs w:val="22"/>
        </w:rPr>
        <w:t>doljnost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}} {{ </w:t>
      </w:r>
      <w:proofErr w:type="spellStart"/>
      <w:r w:rsidR="007F5BF7" w:rsidRPr="007F5BF7">
        <w:rPr>
          <w:b/>
          <w:snapToGrid w:val="0"/>
          <w:sz w:val="22"/>
          <w:szCs w:val="22"/>
        </w:rPr>
        <w:t>ucheriditel_name_polnoe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</w:t>
      </w:r>
      <w:r w:rsidR="00B92F98" w:rsidRPr="008925C7">
        <w:rPr>
          <w:b/>
          <w:bCs/>
          <w:snapToGrid w:val="0"/>
          <w:sz w:val="22"/>
          <w:szCs w:val="22"/>
        </w:rPr>
        <w:t>{{</w:t>
      </w:r>
      <w:proofErr w:type="spellStart"/>
      <w:r w:rsidR="00B92F98" w:rsidRPr="008925C7">
        <w:rPr>
          <w:b/>
          <w:bCs/>
          <w:snapToGrid w:val="0"/>
          <w:sz w:val="22"/>
          <w:szCs w:val="22"/>
        </w:rPr>
        <w:t>vid_too</w:t>
      </w:r>
      <w:proofErr w:type="spellEnd"/>
      <w:r w:rsidR="00B92F98" w:rsidRPr="008925C7">
        <w:rPr>
          <w:b/>
          <w:bCs/>
          <w:snapToGrid w:val="0"/>
          <w:sz w:val="22"/>
          <w:szCs w:val="22"/>
        </w:rPr>
        <w:t>}}</w:t>
      </w:r>
      <w:r w:rsidR="00680302" w:rsidRPr="00997DEF">
        <w:rPr>
          <w:snapToGrid w:val="0"/>
          <w:sz w:val="22"/>
          <w:szCs w:val="22"/>
        </w:rPr>
        <w:t xml:space="preserve">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 xml:space="preserve">«Сеть </w:t>
      </w:r>
      <w:proofErr w:type="spellStart"/>
      <w:r w:rsidRPr="00B309E3">
        <w:rPr>
          <w:b/>
          <w:bCs/>
          <w:sz w:val="22"/>
          <w:szCs w:val="22"/>
        </w:rPr>
        <w:t>радиомониторинга</w:t>
      </w:r>
      <w:proofErr w:type="spellEnd"/>
      <w:r w:rsidRPr="00B309E3">
        <w:rPr>
          <w:b/>
          <w:bCs/>
          <w:sz w:val="22"/>
          <w:szCs w:val="22"/>
        </w:rPr>
        <w:t>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B309E3">
        <w:rPr>
          <w:bCs/>
          <w:sz w:val="22"/>
          <w:szCs w:val="22"/>
        </w:rPr>
        <w:t>радиомониторинга</w:t>
      </w:r>
      <w:proofErr w:type="spellEnd"/>
      <w:r w:rsidRPr="00B309E3">
        <w:rPr>
          <w:bCs/>
          <w:sz w:val="22"/>
          <w:szCs w:val="22"/>
        </w:rPr>
        <w:t xml:space="preserve"> Компании средств сигнализации объектов, путем проведения </w:t>
      </w:r>
      <w:proofErr w:type="gramStart"/>
      <w:r w:rsidRPr="00B309E3">
        <w:rPr>
          <w:bCs/>
          <w:sz w:val="22"/>
          <w:szCs w:val="22"/>
        </w:rPr>
        <w:t>профилактических  работ</w:t>
      </w:r>
      <w:proofErr w:type="gramEnd"/>
      <w:r w:rsidRPr="00B309E3">
        <w:rPr>
          <w:bCs/>
          <w:sz w:val="22"/>
          <w:szCs w:val="22"/>
        </w:rPr>
        <w:t xml:space="preserve">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</w:t>
      </w:r>
      <w:proofErr w:type="gramStart"/>
      <w:r w:rsidRPr="00B309E3">
        <w:rPr>
          <w:sz w:val="22"/>
          <w:szCs w:val="22"/>
        </w:rPr>
        <w:t>от  средств</w:t>
      </w:r>
      <w:proofErr w:type="gramEnd"/>
      <w:r w:rsidRPr="00B309E3">
        <w:rPr>
          <w:sz w:val="22"/>
          <w:szCs w:val="22"/>
        </w:rPr>
        <w:t xml:space="preserve">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Pr="00492270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2.1.  Клиент передает, а Компания </w:t>
      </w:r>
      <w:proofErr w:type="gramStart"/>
      <w:r w:rsidRPr="0055380F">
        <w:rPr>
          <w:snapToGrid w:val="0"/>
          <w:sz w:val="22"/>
          <w:szCs w:val="22"/>
        </w:rPr>
        <w:t>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</w:t>
      </w:r>
      <w:proofErr w:type="gramEnd"/>
      <w:r w:rsidRPr="0055380F">
        <w:rPr>
          <w:snapToGrid w:val="0"/>
          <w:sz w:val="22"/>
          <w:szCs w:val="22"/>
        </w:rPr>
        <w:t xml:space="preserve"> средств ОТС,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 xml:space="preserve">бъекте Клиента, своевременное и качественное техническое обслуживание  средств ОТС.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</w:t>
      </w:r>
      <w:proofErr w:type="gramStart"/>
      <w:r w:rsidRPr="0055380F">
        <w:rPr>
          <w:sz w:val="22"/>
          <w:szCs w:val="22"/>
        </w:rPr>
        <w:t xml:space="preserve">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</w:t>
      </w:r>
      <w:proofErr w:type="gramEnd"/>
      <w:r w:rsidRPr="0055380F">
        <w:rPr>
          <w:sz w:val="22"/>
          <w:szCs w:val="22"/>
        </w:rPr>
        <w:t xml:space="preserve">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Объект </w:t>
      </w:r>
      <w:proofErr w:type="gramStart"/>
      <w:r w:rsidRPr="0055380F">
        <w:rPr>
          <w:sz w:val="22"/>
          <w:szCs w:val="22"/>
        </w:rPr>
        <w:t>Клиента  должен</w:t>
      </w:r>
      <w:proofErr w:type="gramEnd"/>
      <w:r w:rsidRPr="0055380F">
        <w:rPr>
          <w:sz w:val="22"/>
          <w:szCs w:val="22"/>
        </w:rPr>
        <w:t xml:space="preserve"> соответствовать определенным требованиям по технической </w:t>
      </w:r>
      <w:r w:rsidRPr="0055380F">
        <w:rPr>
          <w:sz w:val="22"/>
          <w:szCs w:val="22"/>
        </w:rPr>
        <w:lastRenderedPageBreak/>
        <w:t>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</w:t>
      </w:r>
      <w:proofErr w:type="gramStart"/>
      <w:r w:rsidRPr="0055380F">
        <w:rPr>
          <w:sz w:val="22"/>
          <w:szCs w:val="22"/>
        </w:rPr>
        <w:t>недостатков,  Компания</w:t>
      </w:r>
      <w:proofErr w:type="gramEnd"/>
      <w:r w:rsidRPr="0055380F">
        <w:rPr>
          <w:sz w:val="22"/>
          <w:szCs w:val="22"/>
        </w:rPr>
        <w:t xml:space="preserve">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Мониторинг осуществляется Компанией только в отношении средств сигнализации объекта, подключенных к сети </w:t>
      </w:r>
      <w:proofErr w:type="spellStart"/>
      <w:proofErr w:type="gramStart"/>
      <w:r>
        <w:rPr>
          <w:sz w:val="22"/>
          <w:szCs w:val="22"/>
        </w:rPr>
        <w:t>радиомониторинга</w:t>
      </w:r>
      <w:proofErr w:type="spellEnd"/>
      <w:r>
        <w:rPr>
          <w:sz w:val="22"/>
          <w:szCs w:val="22"/>
        </w:rPr>
        <w:t xml:space="preserve">  Компании</w:t>
      </w:r>
      <w:proofErr w:type="gramEnd"/>
      <w:r>
        <w:rPr>
          <w:sz w:val="22"/>
          <w:szCs w:val="22"/>
        </w:rPr>
        <w:t>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в Приложениях к настоящему Договору, оборудованные средствами ОС  и/или ТС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3.1.3. 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</w:t>
      </w:r>
      <w:proofErr w:type="gramStart"/>
      <w:r w:rsidR="00331E8E" w:rsidRPr="00331E8E">
        <w:rPr>
          <w:i/>
          <w:sz w:val="22"/>
          <w:szCs w:val="22"/>
        </w:rPr>
        <w:t xml:space="preserve">{{ </w:t>
      </w:r>
      <w:proofErr w:type="spellStart"/>
      <w:r w:rsidR="00331E8E" w:rsidRPr="00331E8E">
        <w:rPr>
          <w:i/>
          <w:sz w:val="22"/>
          <w:szCs w:val="22"/>
        </w:rPr>
        <w:t>time</w:t>
      </w:r>
      <w:proofErr w:type="gramEnd"/>
      <w:r w:rsidR="00331E8E" w:rsidRPr="00331E8E">
        <w:rPr>
          <w:i/>
          <w:sz w:val="22"/>
          <w:szCs w:val="22"/>
        </w:rPr>
        <w:t>_reag</w:t>
      </w:r>
      <w:proofErr w:type="spellEnd"/>
      <w:r w:rsidR="00331E8E" w:rsidRPr="00331E8E">
        <w:rPr>
          <w:i/>
          <w:sz w:val="22"/>
          <w:szCs w:val="22"/>
        </w:rPr>
        <w:t xml:space="preserve">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</w:t>
      </w:r>
      <w:proofErr w:type="gramStart"/>
      <w:r w:rsidRPr="003E33A9">
        <w:rPr>
          <w:i/>
          <w:sz w:val="22"/>
          <w:szCs w:val="22"/>
          <w:lang w:val="ru-RU"/>
        </w:rPr>
        <w:t>прибытия  Клиента</w:t>
      </w:r>
      <w:proofErr w:type="gramEnd"/>
      <w:r w:rsidRPr="003E33A9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 xml:space="preserve">) часов, </w:t>
      </w:r>
      <w:proofErr w:type="gramStart"/>
      <w:r w:rsidRPr="0049686D">
        <w:rPr>
          <w:sz w:val="22"/>
          <w:szCs w:val="22"/>
        </w:rPr>
        <w:t>при  этом</w:t>
      </w:r>
      <w:proofErr w:type="gramEnd"/>
      <w:r w:rsidRPr="0049686D">
        <w:rPr>
          <w:sz w:val="22"/>
          <w:szCs w:val="22"/>
        </w:rPr>
        <w:t xml:space="preserve">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>{{</w:t>
      </w:r>
      <w:proofErr w:type="spellStart"/>
      <w:r w:rsidR="00331E8E" w:rsidRPr="00331E8E">
        <w:rPr>
          <w:sz w:val="22"/>
          <w:szCs w:val="22"/>
        </w:rPr>
        <w:t>time_reag_</w:t>
      </w:r>
      <w:proofErr w:type="gramStart"/>
      <w:r w:rsidR="00331E8E" w:rsidRPr="00331E8E">
        <w:rPr>
          <w:sz w:val="22"/>
          <w:szCs w:val="22"/>
        </w:rPr>
        <w:t>nebol</w:t>
      </w:r>
      <w:proofErr w:type="spellEnd"/>
      <w:r w:rsidR="00331E8E" w:rsidRPr="00331E8E">
        <w:rPr>
          <w:sz w:val="22"/>
          <w:szCs w:val="22"/>
        </w:rPr>
        <w:t xml:space="preserve"> }</w:t>
      </w:r>
      <w:proofErr w:type="gramEnd"/>
      <w:r w:rsidR="00331E8E" w:rsidRPr="00331E8E">
        <w:rPr>
          <w:sz w:val="22"/>
          <w:szCs w:val="22"/>
        </w:rPr>
        <w:t xml:space="preserve">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</w:t>
      </w:r>
      <w:proofErr w:type="gramStart"/>
      <w:r w:rsidRPr="00817DC8">
        <w:rPr>
          <w:sz w:val="22"/>
          <w:szCs w:val="22"/>
        </w:rPr>
        <w:t>7.Для</w:t>
      </w:r>
      <w:proofErr w:type="gramEnd"/>
      <w:r w:rsidRPr="00817DC8">
        <w:rPr>
          <w:sz w:val="22"/>
          <w:szCs w:val="22"/>
        </w:rPr>
        <w:t xml:space="preserve">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B309E3">
        <w:rPr>
          <w:sz w:val="22"/>
          <w:szCs w:val="22"/>
          <w:lang w:val="ru-RU"/>
        </w:rPr>
        <w:t>-  уведомлять</w:t>
      </w:r>
      <w:proofErr w:type="gramEnd"/>
      <w:r w:rsidRPr="00B309E3">
        <w:rPr>
          <w:sz w:val="22"/>
          <w:szCs w:val="22"/>
          <w:lang w:val="ru-RU"/>
        </w:rPr>
        <w:t xml:space="preserve">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источники  тепла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.11. При сдаче объекта под мониторинг, не должна быть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нарушена  целостность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</w:t>
      </w:r>
      <w:proofErr w:type="spellStart"/>
      <w:r w:rsidRPr="00520F57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20F57">
        <w:rPr>
          <w:rFonts w:ascii="Times New Roman" w:hAnsi="Times New Roman"/>
          <w:sz w:val="22"/>
          <w:szCs w:val="22"/>
          <w:lang w:val="ru-RU"/>
        </w:rPr>
        <w:t xml:space="preserve">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в  Приложении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</w:t>
      </w:r>
      <w:proofErr w:type="spellStart"/>
      <w:r w:rsidRPr="00B309E3">
        <w:rPr>
          <w:sz w:val="22"/>
          <w:szCs w:val="22"/>
        </w:rPr>
        <w:t>Ф.и.о.</w:t>
      </w:r>
      <w:proofErr w:type="spellEnd"/>
      <w:r w:rsidRPr="00B309E3">
        <w:rPr>
          <w:sz w:val="22"/>
          <w:szCs w:val="22"/>
        </w:rPr>
        <w:t xml:space="preserve"> и адреса всех лиц, вовлеченных в событие), для   передачи Компании всех вышеуказанных </w:t>
      </w:r>
      <w:proofErr w:type="gramStart"/>
      <w:r w:rsidRPr="00B309E3">
        <w:rPr>
          <w:sz w:val="22"/>
          <w:szCs w:val="22"/>
        </w:rPr>
        <w:t>документов  в</w:t>
      </w:r>
      <w:proofErr w:type="gramEnd"/>
      <w:r w:rsidRPr="00B309E3">
        <w:rPr>
          <w:sz w:val="22"/>
          <w:szCs w:val="22"/>
        </w:rPr>
        <w:t xml:space="preserve">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</w:t>
      </w:r>
      <w:proofErr w:type="gramStart"/>
      <w:r w:rsidRPr="00B309E3">
        <w:rPr>
          <w:sz w:val="22"/>
          <w:szCs w:val="22"/>
        </w:rPr>
        <w:t>последствием  которого</w:t>
      </w:r>
      <w:proofErr w:type="gramEnd"/>
      <w:r w:rsidRPr="00B309E3">
        <w:rPr>
          <w:sz w:val="22"/>
          <w:szCs w:val="22"/>
        </w:rPr>
        <w:t xml:space="preserve">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proofErr w:type="gramStart"/>
      <w:r w:rsidRPr="006F3E71">
        <w:rPr>
          <w:sz w:val="22"/>
          <w:szCs w:val="22"/>
        </w:rPr>
        <w:t>г)Мобильная</w:t>
      </w:r>
      <w:proofErr w:type="gramEnd"/>
      <w:r w:rsidRPr="006F3E71">
        <w:rPr>
          <w:sz w:val="22"/>
          <w:szCs w:val="22"/>
        </w:rPr>
        <w:t xml:space="preserve">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 xml:space="preserve">Ежемесячная стоимость </w:t>
      </w:r>
      <w:proofErr w:type="gramStart"/>
      <w:r w:rsidRPr="00FE0226">
        <w:rPr>
          <w:rFonts w:ascii="Times New Roman" w:hAnsi="Times New Roman"/>
          <w:sz w:val="22"/>
          <w:szCs w:val="22"/>
          <w:lang w:val="ru-RU"/>
        </w:rPr>
        <w:t>услуг  Компании</w:t>
      </w:r>
      <w:proofErr w:type="gramEnd"/>
      <w:r w:rsidRPr="00FE0226">
        <w:rPr>
          <w:rFonts w:ascii="Times New Roman" w:hAnsi="Times New Roman"/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В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случае  несвоевременной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</w:t>
      </w:r>
      <w:proofErr w:type="spellStart"/>
      <w:r w:rsidRPr="005B6B79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B6B79">
        <w:rPr>
          <w:rFonts w:ascii="Times New Roman" w:hAnsi="Times New Roman"/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задолженности, а так же  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Компания  вправе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>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 xml:space="preserve">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письменного заявления, в противном случае за неиспользование средств сигнализации без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предварительного  письменного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Оплата  за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2) замена, дооборудование ОТС, частей ОТС, составляющих ОТС, элементов питания </w:t>
      </w:r>
      <w:proofErr w:type="gramStart"/>
      <w:r w:rsidRPr="00FA28EE">
        <w:rPr>
          <w:rFonts w:ascii="Times New Roman" w:hAnsi="Times New Roman"/>
          <w:sz w:val="22"/>
          <w:szCs w:val="22"/>
          <w:lang w:val="ru-RU"/>
        </w:rPr>
        <w:t>ОТС  (</w:t>
      </w:r>
      <w:proofErr w:type="gramEnd"/>
      <w:r w:rsidRPr="00FA28EE">
        <w:rPr>
          <w:rFonts w:ascii="Times New Roman" w:hAnsi="Times New Roman"/>
          <w:sz w:val="22"/>
          <w:szCs w:val="22"/>
          <w:lang w:val="ru-RU"/>
        </w:rPr>
        <w:t>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</w:t>
      </w:r>
      <w:proofErr w:type="gramStart"/>
      <w:r>
        <w:rPr>
          <w:sz w:val="22"/>
          <w:szCs w:val="22"/>
          <w:lang w:val="ru-RU"/>
        </w:rPr>
        <w:t>распечатка  о</w:t>
      </w:r>
      <w:proofErr w:type="gramEnd"/>
      <w:r>
        <w:rPr>
          <w:sz w:val="22"/>
          <w:szCs w:val="22"/>
          <w:lang w:val="ru-RU"/>
        </w:rPr>
        <w:t xml:space="preserve">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4.12. Тарифные ставки за оказываемые </w:t>
      </w:r>
      <w:proofErr w:type="gramStart"/>
      <w:r w:rsidRPr="005B6B79">
        <w:rPr>
          <w:sz w:val="22"/>
          <w:szCs w:val="22"/>
          <w:lang w:val="ru-RU"/>
        </w:rPr>
        <w:t>услуги  могут</w:t>
      </w:r>
      <w:proofErr w:type="gramEnd"/>
      <w:r w:rsidRPr="005B6B7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4C5DCB" w:rsidRDefault="007E43BB" w:rsidP="004C5DC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</w:t>
      </w:r>
      <w:proofErr w:type="spellStart"/>
      <w:r w:rsidR="00B92C12" w:rsidRPr="00B92C12">
        <w:rPr>
          <w:sz w:val="22"/>
          <w:szCs w:val="22"/>
        </w:rPr>
        <w:t>mat_otv</w:t>
      </w:r>
      <w:proofErr w:type="spellEnd"/>
      <w:r w:rsidR="00B92C12" w:rsidRPr="00B92C12">
        <w:rPr>
          <w:sz w:val="22"/>
          <w:szCs w:val="22"/>
        </w:rPr>
        <w:t>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</w:t>
      </w:r>
      <w:proofErr w:type="gramStart"/>
      <w:r w:rsidRPr="0071686A">
        <w:rPr>
          <w:spacing w:val="-6"/>
          <w:sz w:val="22"/>
          <w:szCs w:val="22"/>
        </w:rPr>
        <w:t>материальной  компенсации</w:t>
      </w:r>
      <w:proofErr w:type="gramEnd"/>
      <w:r w:rsidRPr="0071686A">
        <w:rPr>
          <w:spacing w:val="-6"/>
          <w:sz w:val="22"/>
          <w:szCs w:val="22"/>
        </w:rPr>
        <w:t xml:space="preserve">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</w:t>
      </w:r>
      <w:proofErr w:type="gramStart"/>
      <w:r w:rsidRPr="00534765">
        <w:rPr>
          <w:sz w:val="22"/>
          <w:szCs w:val="22"/>
        </w:rPr>
        <w:t xml:space="preserve">причиненных  </w:t>
      </w:r>
      <w:r w:rsidRPr="0071686A">
        <w:rPr>
          <w:sz w:val="22"/>
          <w:szCs w:val="22"/>
        </w:rPr>
        <w:t>убытков</w:t>
      </w:r>
      <w:proofErr w:type="gramEnd"/>
      <w:r w:rsidRPr="0071686A">
        <w:rPr>
          <w:sz w:val="22"/>
          <w:szCs w:val="22"/>
        </w:rPr>
        <w:t xml:space="preserve">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</w:t>
      </w:r>
      <w:proofErr w:type="gramStart"/>
      <w:r w:rsidRPr="0071686A">
        <w:rPr>
          <w:spacing w:val="-6"/>
          <w:sz w:val="22"/>
          <w:szCs w:val="22"/>
        </w:rPr>
        <w:t>предоставления  Клиентом</w:t>
      </w:r>
      <w:proofErr w:type="gramEnd"/>
      <w:r w:rsidRPr="0071686A">
        <w:rPr>
          <w:spacing w:val="-6"/>
          <w:sz w:val="22"/>
          <w:szCs w:val="22"/>
        </w:rPr>
        <w:t xml:space="preserve">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 xml:space="preserve"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71686A">
        <w:rPr>
          <w:sz w:val="22"/>
          <w:szCs w:val="22"/>
          <w:lang w:val="ru-RU"/>
        </w:rPr>
        <w:t>этом  Клиент</w:t>
      </w:r>
      <w:proofErr w:type="gramEnd"/>
      <w:r w:rsidRPr="0071686A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 xml:space="preserve"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71686A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71686A">
        <w:rPr>
          <w:rFonts w:ascii="Times New Roman" w:hAnsi="Times New Roman"/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71686A">
        <w:rPr>
          <w:sz w:val="22"/>
          <w:szCs w:val="22"/>
        </w:rPr>
        <w:t>г.Алматы</w:t>
      </w:r>
      <w:proofErr w:type="spellEnd"/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</w:t>
      </w:r>
      <w:proofErr w:type="gramStart"/>
      <w:r w:rsidRPr="0071686A">
        <w:rPr>
          <w:sz w:val="22"/>
          <w:szCs w:val="22"/>
          <w:lang w:val="ru-RU"/>
        </w:rPr>
        <w:t xml:space="preserve">л)   </w:t>
      </w:r>
      <w:proofErr w:type="gramEnd"/>
      <w:r w:rsidRPr="0071686A">
        <w:rPr>
          <w:sz w:val="22"/>
          <w:szCs w:val="22"/>
          <w:lang w:val="ru-RU"/>
        </w:rPr>
        <w:t>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о</w:t>
      </w:r>
      <w:r w:rsidRPr="0071686A">
        <w:rPr>
          <w:sz w:val="22"/>
          <w:szCs w:val="22"/>
        </w:rPr>
        <w:t xml:space="preserve">) за не </w:t>
      </w:r>
      <w:proofErr w:type="gramStart"/>
      <w:r w:rsidRPr="0071686A">
        <w:rPr>
          <w:sz w:val="22"/>
          <w:szCs w:val="22"/>
        </w:rPr>
        <w:t>уведомление  Компании</w:t>
      </w:r>
      <w:proofErr w:type="gramEnd"/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71686A">
        <w:rPr>
          <w:sz w:val="22"/>
          <w:szCs w:val="22"/>
        </w:rPr>
        <w:t>домофонной</w:t>
      </w:r>
      <w:proofErr w:type="spellEnd"/>
      <w:r w:rsidRPr="0071686A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71686A">
        <w:rPr>
          <w:sz w:val="22"/>
          <w:szCs w:val="22"/>
        </w:rPr>
        <w:t>Proximity</w:t>
      </w:r>
      <w:proofErr w:type="spellEnd"/>
      <w:r w:rsidRPr="0071686A">
        <w:rPr>
          <w:sz w:val="22"/>
          <w:szCs w:val="22"/>
        </w:rPr>
        <w:t xml:space="preserve"> </w:t>
      </w:r>
      <w:proofErr w:type="spellStart"/>
      <w:r w:rsidRPr="0071686A">
        <w:rPr>
          <w:sz w:val="22"/>
          <w:szCs w:val="22"/>
        </w:rPr>
        <w:t>card</w:t>
      </w:r>
      <w:proofErr w:type="spellEnd"/>
      <w:r w:rsidRPr="0071686A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у</w:t>
      </w:r>
      <w:r w:rsidRPr="006C4F97">
        <w:rPr>
          <w:sz w:val="22"/>
          <w:szCs w:val="22"/>
        </w:rPr>
        <w:t>)  в</w:t>
      </w:r>
      <w:proofErr w:type="gramEnd"/>
      <w:r w:rsidRPr="006C4F97">
        <w:rPr>
          <w:sz w:val="22"/>
          <w:szCs w:val="22"/>
        </w:rPr>
        <w:t xml:space="preserve">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187A4D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  <w:r w:rsidR="00E34D12" w:rsidRPr="00E34D12">
              <w:rPr>
                <w:sz w:val="22"/>
                <w:szCs w:val="22"/>
              </w:rPr>
              <w:t xml:space="preserve"> </w:t>
            </w:r>
            <w:proofErr w:type="gramStart"/>
            <w:r w:rsidR="00E34D12" w:rsidRPr="007733AD">
              <w:rPr>
                <w:sz w:val="22"/>
                <w:szCs w:val="22"/>
              </w:rPr>
              <w:t xml:space="preserve">{{ </w:t>
            </w:r>
            <w:proofErr w:type="spellStart"/>
            <w:r w:rsidR="00E34D12">
              <w:rPr>
                <w:sz w:val="22"/>
                <w:szCs w:val="22"/>
                <w:lang w:val="en-US"/>
              </w:rPr>
              <w:t>iik</w:t>
            </w:r>
            <w:proofErr w:type="spellEnd"/>
            <w:proofErr w:type="gramEnd"/>
            <w:r w:rsidR="00E34D12" w:rsidRPr="007733AD">
              <w:rPr>
                <w:sz w:val="22"/>
                <w:szCs w:val="22"/>
              </w:rPr>
              <w:t xml:space="preserve"> 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  <w:r w:rsidR="007733AD" w:rsidRPr="007733AD">
              <w:rPr>
                <w:sz w:val="22"/>
                <w:szCs w:val="22"/>
              </w:rPr>
              <w:t xml:space="preserve"> </w:t>
            </w:r>
            <w:r w:rsidR="007733AD" w:rsidRPr="0030393B">
              <w:rPr>
                <w:sz w:val="22"/>
                <w:szCs w:val="22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в </w:t>
            </w:r>
            <w:r w:rsidR="007733AD">
              <w:rPr>
                <w:sz w:val="22"/>
                <w:szCs w:val="22"/>
              </w:rPr>
              <w:t>АГФ АО «{</w:t>
            </w:r>
            <w:r w:rsidR="007733AD" w:rsidRPr="0030393B">
              <w:rPr>
                <w:sz w:val="22"/>
                <w:szCs w:val="22"/>
              </w:rPr>
              <w:t>{</w:t>
            </w:r>
            <w:r w:rsidR="007733AD">
              <w:rPr>
                <w:sz w:val="22"/>
                <w:szCs w:val="22"/>
                <w:lang w:val="en-US"/>
              </w:rPr>
              <w:t>bank</w:t>
            </w:r>
            <w:r w:rsidR="007733AD" w:rsidRPr="0030393B">
              <w:rPr>
                <w:sz w:val="22"/>
                <w:szCs w:val="22"/>
              </w:rPr>
              <w:t>}}</w:t>
            </w:r>
            <w:r w:rsidR="007733AD">
              <w:rPr>
                <w:sz w:val="22"/>
                <w:szCs w:val="22"/>
              </w:rPr>
              <w:t xml:space="preserve">» </w:t>
            </w:r>
            <w:proofErr w:type="spellStart"/>
            <w:r w:rsidR="007733AD">
              <w:rPr>
                <w:sz w:val="22"/>
                <w:szCs w:val="22"/>
              </w:rPr>
              <w:t>г.Алматы</w:t>
            </w:r>
            <w:proofErr w:type="spellEnd"/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</w:t>
            </w:r>
            <w:proofErr w:type="spellStart"/>
            <w:r w:rsidR="00B92C12" w:rsidRPr="00CB3C51">
              <w:rPr>
                <w:sz w:val="22"/>
                <w:szCs w:val="22"/>
              </w:rPr>
              <w:t>telephone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733AD" w:rsidRPr="00187A4D" w:rsidRDefault="007733AD" w:rsidP="007733AD">
            <w:pPr>
              <w:widowControl w:val="0"/>
              <w:jc w:val="both"/>
              <w:rPr>
                <w:sz w:val="22"/>
                <w:szCs w:val="22"/>
              </w:rPr>
            </w:pPr>
            <w:r w:rsidRPr="00187A4D"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187A4D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187A4D">
              <w:rPr>
                <w:sz w:val="22"/>
                <w:szCs w:val="22"/>
              </w:rPr>
              <w:t>}}</w:t>
            </w:r>
          </w:p>
          <w:p w:rsidR="005F4D82" w:rsidRPr="00187A4D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7733AD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33AD">
              <w:rPr>
                <w:sz w:val="22"/>
                <w:szCs w:val="22"/>
                <w:lang w:val="en-US"/>
              </w:rPr>
              <w:t>_______________/</w:t>
            </w:r>
            <w:r w:rsidR="007733AD" w:rsidRPr="007733A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fio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direktor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7733AD" w:rsidRPr="007733AD">
              <w:rPr>
                <w:sz w:val="22"/>
                <w:szCs w:val="22"/>
                <w:lang w:val="en-US"/>
              </w:rPr>
              <w:t>}}/</w:t>
            </w:r>
          </w:p>
          <w:p w:rsidR="00270A74" w:rsidRPr="00187A4D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87A4D">
              <w:rPr>
                <w:sz w:val="22"/>
                <w:szCs w:val="22"/>
                <w:lang w:val="en-US"/>
              </w:rPr>
              <w:t>«___» _____________</w:t>
            </w:r>
            <w:r w:rsidR="00785A72" w:rsidRPr="00187A4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</w:t>
            </w:r>
            <w:r w:rsidR="00785A72" w:rsidRPr="00187A4D">
              <w:rPr>
                <w:sz w:val="22"/>
                <w:szCs w:val="22"/>
                <w:lang w:val="en-US"/>
              </w:rPr>
              <w:t>_</w:t>
            </w:r>
            <w:r w:rsidR="00785A72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785A72" w:rsidRPr="00187A4D">
              <w:rPr>
                <w:sz w:val="22"/>
                <w:szCs w:val="22"/>
                <w:lang w:val="en-US"/>
              </w:rPr>
              <w:t xml:space="preserve">}} </w:t>
            </w:r>
            <w:r w:rsidRPr="00CB3C51">
              <w:rPr>
                <w:sz w:val="22"/>
                <w:szCs w:val="22"/>
              </w:rPr>
              <w:t>г</w:t>
            </w:r>
            <w:r w:rsidRPr="00187A4D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2B7ADA" w:rsidRDefault="00B92C12" w:rsidP="0068030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polnoe</w:t>
            </w:r>
            <w:r w:rsidRPr="002B7ADA">
              <w:rPr>
                <w:b/>
                <w:sz w:val="22"/>
                <w:szCs w:val="22"/>
                <w:lang w:val="en-US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proofErr w:type="spellEnd"/>
            <w:r w:rsidRPr="002B7ADA">
              <w:rPr>
                <w:b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</w:t>
            </w:r>
            <w:proofErr w:type="gramEnd"/>
            <w:r w:rsidR="00E06D03" w:rsidRPr="002B7ADA">
              <w:rPr>
                <w:sz w:val="22"/>
                <w:szCs w:val="22"/>
                <w:lang w:val="en-US"/>
              </w:rPr>
              <w:t>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2B7ADA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977506" w:rsidRPr="00CB3C51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977506" w:rsidRPr="00CB3C51">
              <w:rPr>
                <w:sz w:val="22"/>
                <w:szCs w:val="22"/>
                <w:lang w:val="en-US"/>
              </w:rPr>
              <w:t>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doljnost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785A72">
              <w:rPr>
                <w:sz w:val="22"/>
                <w:szCs w:val="22"/>
                <w:lang w:val="en-US"/>
              </w:rPr>
              <w:t>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proofErr w:type="gramStart"/>
      <w:r w:rsidRPr="00407762">
        <w:rPr>
          <w:i/>
          <w:sz w:val="20"/>
          <w:szCs w:val="20"/>
        </w:rPr>
        <w:t>в  РКО</w:t>
      </w:r>
      <w:proofErr w:type="gramEnd"/>
      <w:r w:rsidRPr="00407762">
        <w:rPr>
          <w:i/>
          <w:sz w:val="20"/>
          <w:szCs w:val="20"/>
        </w:rPr>
        <w:t xml:space="preserve"> банка: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bank</w:t>
      </w:r>
      <w:proofErr w:type="spellEnd"/>
      <w:r w:rsidR="00977506" w:rsidRPr="00977506">
        <w:rPr>
          <w:i/>
          <w:sz w:val="20"/>
          <w:szCs w:val="20"/>
        </w:rPr>
        <w:t xml:space="preserve">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iban</w:t>
      </w:r>
      <w:proofErr w:type="spellEnd"/>
      <w:r w:rsidR="00977506" w:rsidRPr="00977506">
        <w:rPr>
          <w:i/>
          <w:sz w:val="20"/>
          <w:szCs w:val="20"/>
        </w:rPr>
        <w:t>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 xml:space="preserve">г. Алматы, ул. </w:t>
      </w:r>
      <w:proofErr w:type="spellStart"/>
      <w:r w:rsidR="00977506" w:rsidRPr="00977506">
        <w:rPr>
          <w:i/>
          <w:sz w:val="18"/>
          <w:szCs w:val="18"/>
        </w:rPr>
        <w:t>Есенова</w:t>
      </w:r>
      <w:proofErr w:type="spellEnd"/>
      <w:r w:rsidR="00977506" w:rsidRPr="00977506">
        <w:rPr>
          <w:i/>
          <w:sz w:val="18"/>
          <w:szCs w:val="18"/>
        </w:rPr>
        <w:t xml:space="preserve">, д.154, </w:t>
      </w:r>
      <w:proofErr w:type="spellStart"/>
      <w:r w:rsidR="00977506" w:rsidRPr="00977506">
        <w:rPr>
          <w:i/>
          <w:sz w:val="18"/>
          <w:szCs w:val="18"/>
        </w:rPr>
        <w:t>уг.ул.Мусоргского</w:t>
      </w:r>
      <w:proofErr w:type="spellEnd"/>
    </w:p>
    <w:p w:rsidR="0055380F" w:rsidRPr="00384DBF" w:rsidRDefault="00D62798" w:rsidP="006D7C41">
      <w:pPr>
        <w:numPr>
          <w:ilvl w:val="0"/>
          <w:numId w:val="8"/>
        </w:num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  <w:r w:rsidRPr="00187A4D">
        <w:rPr>
          <w:i/>
          <w:sz w:val="20"/>
          <w:szCs w:val="20"/>
        </w:rPr>
        <w:t xml:space="preserve">личный кабинет </w:t>
      </w:r>
      <w:r w:rsidRPr="00187A4D">
        <w:rPr>
          <w:i/>
          <w:sz w:val="20"/>
          <w:szCs w:val="20"/>
          <w:lang w:val="en-US"/>
        </w:rPr>
        <w:t>KASPI BANK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660662" w:rsidRPr="00660662">
        <w:rPr>
          <w:color w:val="000000"/>
          <w:sz w:val="21"/>
        </w:rPr>
        <w:t>{{</w:t>
      </w:r>
      <w:proofErr w:type="spellStart"/>
      <w:r w:rsidR="00660662" w:rsidRPr="00660662">
        <w:rPr>
          <w:color w:val="000000"/>
          <w:sz w:val="21"/>
        </w:rPr>
        <w:t>dogovor_number</w:t>
      </w:r>
      <w:proofErr w:type="spellEnd"/>
      <w:r w:rsidR="00660662" w:rsidRPr="00660662">
        <w:rPr>
          <w:color w:val="000000"/>
          <w:sz w:val="21"/>
        </w:rPr>
        <w:t>}} от  {{</w:t>
      </w:r>
      <w:r w:rsidR="00CC3637" w:rsidRPr="00CC3637">
        <w:rPr>
          <w:snapToGrid w:val="0"/>
          <w:sz w:val="22"/>
          <w:szCs w:val="22"/>
        </w:rPr>
        <w:t xml:space="preserve"> </w:t>
      </w:r>
      <w:proofErr w:type="spellStart"/>
      <w:r w:rsidR="00CC3637" w:rsidRPr="008B3CCE">
        <w:rPr>
          <w:snapToGrid w:val="0"/>
          <w:sz w:val="22"/>
          <w:szCs w:val="22"/>
        </w:rPr>
        <w:t>date_zakl</w:t>
      </w:r>
      <w:proofErr w:type="spellEnd"/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</w:t>
      </w:r>
      <w:proofErr w:type="gramStart"/>
      <w:r>
        <w:rPr>
          <w:color w:val="000000"/>
          <w:sz w:val="21"/>
        </w:rPr>
        <w:t xml:space="preserve">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proofErr w:type="gramEnd"/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proofErr w:type="spellStart"/>
      <w:r w:rsidRPr="00660662">
        <w:rPr>
          <w:b/>
          <w:lang w:val="en-US"/>
        </w:rPr>
        <w:t>klient</w:t>
      </w:r>
      <w:proofErr w:type="spellEnd"/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name_object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</w:t>
            </w:r>
            <w:proofErr w:type="spellStart"/>
            <w:r w:rsidR="00660662" w:rsidRPr="00660662">
              <w:rPr>
                <w:sz w:val="21"/>
              </w:rPr>
              <w:t>vid_sign_polnoe</w:t>
            </w:r>
            <w:proofErr w:type="spellEnd"/>
            <w:r w:rsidR="00660662" w:rsidRPr="00660662">
              <w:rPr>
                <w:sz w:val="21"/>
              </w:rPr>
              <w:t>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proofErr w:type="spellStart"/>
            <w:r w:rsidRPr="00660662">
              <w:rPr>
                <w:sz w:val="21"/>
              </w:rPr>
              <w:t>vid_sign_sokr</w:t>
            </w:r>
            <w:proofErr w:type="spellEnd"/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7733AD">
            <w:pPr>
              <w:widowControl w:val="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</w:t>
            </w:r>
            <w:proofErr w:type="spellStart"/>
            <w:r w:rsidRPr="00660662">
              <w:rPr>
                <w:sz w:val="21"/>
                <w:lang w:eastAsia="en-US"/>
              </w:rPr>
              <w:t>chasi_po_dog</w:t>
            </w:r>
            <w:proofErr w:type="spellEnd"/>
            <w:r w:rsidRPr="00660662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</w:t>
            </w:r>
            <w:proofErr w:type="spellStart"/>
            <w:r w:rsidRPr="00660662">
              <w:rPr>
                <w:b/>
                <w:sz w:val="21"/>
                <w:lang w:eastAsia="en-US"/>
              </w:rPr>
              <w:t>itog_oplata</w:t>
            </w:r>
            <w:proofErr w:type="spellEnd"/>
            <w:r w:rsidRPr="00660662">
              <w:rPr>
                <w:b/>
                <w:sz w:val="21"/>
                <w:lang w:eastAsia="en-US"/>
              </w:rPr>
              <w:t>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</w:t>
            </w:r>
            <w:proofErr w:type="spellStart"/>
            <w:r w:rsidR="000103DF" w:rsidRPr="000103DF">
              <w:rPr>
                <w:sz w:val="21"/>
                <w:szCs w:val="21"/>
              </w:rPr>
              <w:t>vid_sign_sokr</w:t>
            </w:r>
            <w:proofErr w:type="spellEnd"/>
            <w:r w:rsidR="000103DF" w:rsidRPr="000103DF">
              <w:rPr>
                <w:sz w:val="21"/>
                <w:szCs w:val="21"/>
              </w:rPr>
              <w:t>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</w:t>
      </w:r>
      <w:proofErr w:type="gramStart"/>
      <w:r w:rsidR="00375688" w:rsidRPr="005C1543">
        <w:rPr>
          <w:b/>
          <w:bCs/>
          <w:sz w:val="28"/>
          <w:szCs w:val="28"/>
        </w:rPr>
        <w:t>оплате</w:t>
      </w:r>
      <w:r w:rsidRPr="005C1543">
        <w:rPr>
          <w:b/>
          <w:bCs/>
          <w:sz w:val="28"/>
          <w:szCs w:val="28"/>
        </w:rPr>
        <w:t xml:space="preserve">:  </w:t>
      </w:r>
      <w:r w:rsidR="00660662" w:rsidRPr="00660662">
        <w:rPr>
          <w:b/>
          <w:bCs/>
          <w:sz w:val="28"/>
          <w:szCs w:val="28"/>
        </w:rPr>
        <w:t>{</w:t>
      </w:r>
      <w:proofErr w:type="gramEnd"/>
      <w:r w:rsidR="00660662" w:rsidRPr="00660662">
        <w:rPr>
          <w:b/>
          <w:bCs/>
          <w:sz w:val="28"/>
          <w:szCs w:val="28"/>
        </w:rPr>
        <w:t>{</w:t>
      </w:r>
      <w:proofErr w:type="spellStart"/>
      <w:r w:rsidR="00660662" w:rsidRPr="00660662">
        <w:rPr>
          <w:b/>
          <w:bCs/>
          <w:sz w:val="28"/>
          <w:szCs w:val="28"/>
        </w:rPr>
        <w:t>itog_oplata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</w:t>
      </w:r>
      <w:r w:rsidR="00A35E14">
        <w:rPr>
          <w:b/>
          <w:bCs/>
          <w:sz w:val="28"/>
          <w:szCs w:val="28"/>
        </w:rPr>
        <w:t>(</w:t>
      </w:r>
      <w:r w:rsidR="00660662" w:rsidRPr="00660662">
        <w:rPr>
          <w:b/>
          <w:bCs/>
          <w:sz w:val="28"/>
          <w:szCs w:val="28"/>
        </w:rPr>
        <w:t>{{</w:t>
      </w:r>
      <w:proofErr w:type="spellStart"/>
      <w:r w:rsidR="00660662" w:rsidRPr="00660662">
        <w:rPr>
          <w:b/>
          <w:bCs/>
          <w:sz w:val="28"/>
          <w:szCs w:val="28"/>
        </w:rPr>
        <w:t>itog_oplata_propis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A35E14">
        <w:rPr>
          <w:b/>
          <w:bCs/>
          <w:sz w:val="28"/>
          <w:szCs w:val="28"/>
        </w:rPr>
        <w:t>)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B530FD">
        <w:rPr>
          <w:rFonts w:eastAsia="Lucida Console"/>
          <w:bCs w:val="0"/>
          <w:sz w:val="24"/>
          <w:szCs w:val="24"/>
        </w:rPr>
        <w:t>202</w:t>
      </w:r>
      <w:r w:rsidR="00B76727" w:rsidRPr="00B76727">
        <w:rPr>
          <w:rFonts w:eastAsia="Lucida Console"/>
          <w:bCs w:val="0"/>
          <w:sz w:val="24"/>
          <w:szCs w:val="24"/>
          <w:lang w:val="ru-RU"/>
        </w:rPr>
        <w:t>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187A4D" w:rsidRDefault="0055380F" w:rsidP="0055380F">
      <w:pPr>
        <w:widowControl w:val="0"/>
        <w:rPr>
          <w:bCs/>
          <w:sz w:val="22"/>
          <w:szCs w:val="22"/>
        </w:rPr>
      </w:pPr>
      <w:r w:rsidRPr="00187A4D">
        <w:rPr>
          <w:bCs/>
          <w:sz w:val="18"/>
        </w:rPr>
        <w:t xml:space="preserve">                _________________________</w:t>
      </w:r>
      <w:r w:rsidR="00DD6D28" w:rsidRPr="00187A4D">
        <w:rPr>
          <w:bCs/>
          <w:sz w:val="18"/>
        </w:rPr>
        <w:t>/</w:t>
      </w:r>
      <w:r w:rsidR="007733AD" w:rsidRPr="00187A4D">
        <w:rPr>
          <w:bCs/>
        </w:rPr>
        <w:t>{{</w:t>
      </w:r>
      <w:proofErr w:type="spellStart"/>
      <w:r w:rsidR="007733AD" w:rsidRPr="00D21714">
        <w:rPr>
          <w:bCs/>
          <w:lang w:val="en-US"/>
        </w:rPr>
        <w:t>fio</w:t>
      </w:r>
      <w:proofErr w:type="spellEnd"/>
      <w:r w:rsidR="007733AD" w:rsidRPr="00187A4D">
        <w:rPr>
          <w:bCs/>
        </w:rPr>
        <w:t>_</w:t>
      </w:r>
      <w:proofErr w:type="spellStart"/>
      <w:r w:rsidR="007733AD" w:rsidRPr="00D21714">
        <w:rPr>
          <w:bCs/>
          <w:lang w:val="en-US"/>
        </w:rPr>
        <w:t>direktor</w:t>
      </w:r>
      <w:proofErr w:type="spellEnd"/>
      <w:r w:rsidR="007733AD" w:rsidRPr="00187A4D">
        <w:rPr>
          <w:bCs/>
        </w:rPr>
        <w:t>_</w:t>
      </w:r>
      <w:proofErr w:type="spellStart"/>
      <w:r w:rsidR="007733AD" w:rsidRPr="00D21714">
        <w:rPr>
          <w:bCs/>
          <w:lang w:val="en-US"/>
        </w:rPr>
        <w:t>sokr</w:t>
      </w:r>
      <w:proofErr w:type="spellEnd"/>
      <w:r w:rsidR="007733AD" w:rsidRPr="00187A4D">
        <w:rPr>
          <w:bCs/>
        </w:rPr>
        <w:t>}}</w:t>
      </w:r>
      <w:r w:rsidR="00DD6D28" w:rsidRPr="00187A4D">
        <w:rPr>
          <w:bCs/>
          <w:sz w:val="18"/>
        </w:rPr>
        <w:t>/</w:t>
      </w:r>
      <w:r w:rsidRPr="00187A4D">
        <w:rPr>
          <w:bCs/>
          <w:sz w:val="18"/>
        </w:rPr>
        <w:t xml:space="preserve">                                                                                   </w:t>
      </w:r>
      <w:r w:rsidR="00DD6D28" w:rsidRPr="00187A4D">
        <w:rPr>
          <w:bCs/>
          <w:sz w:val="18"/>
        </w:rPr>
        <w:t xml:space="preserve">    </w:t>
      </w:r>
      <w:r w:rsidRPr="00187A4D">
        <w:rPr>
          <w:bCs/>
          <w:sz w:val="18"/>
          <w:szCs w:val="18"/>
        </w:rPr>
        <w:t>__________________________</w:t>
      </w:r>
      <w:r w:rsidRPr="00187A4D">
        <w:rPr>
          <w:bCs/>
          <w:sz w:val="22"/>
          <w:szCs w:val="22"/>
        </w:rPr>
        <w:t>/</w:t>
      </w:r>
      <w:r w:rsidR="00660662" w:rsidRPr="00187A4D">
        <w:t>{{</w:t>
      </w:r>
      <w:proofErr w:type="spellStart"/>
      <w:r w:rsidR="00660662" w:rsidRPr="007733AD">
        <w:rPr>
          <w:lang w:val="en-US"/>
        </w:rPr>
        <w:t>ucheriditel</w:t>
      </w:r>
      <w:proofErr w:type="spellEnd"/>
      <w:r w:rsidR="00660662" w:rsidRPr="00187A4D">
        <w:t>_</w:t>
      </w:r>
      <w:r w:rsidR="00660662" w:rsidRPr="007733AD">
        <w:rPr>
          <w:lang w:val="en-US"/>
        </w:rPr>
        <w:t>name</w:t>
      </w:r>
      <w:r w:rsidR="00660662" w:rsidRPr="00187A4D">
        <w:t>_</w:t>
      </w:r>
      <w:proofErr w:type="spellStart"/>
      <w:r w:rsidR="00660662" w:rsidRPr="007733AD">
        <w:rPr>
          <w:lang w:val="en-US"/>
        </w:rPr>
        <w:t>sokr</w:t>
      </w:r>
      <w:proofErr w:type="spellEnd"/>
      <w:r w:rsidR="00660662" w:rsidRPr="00187A4D">
        <w:t>}}/</w:t>
      </w:r>
    </w:p>
    <w:p w:rsidR="0055380F" w:rsidRPr="00187A4D" w:rsidRDefault="0055380F" w:rsidP="0055380F">
      <w:pPr>
        <w:widowControl w:val="0"/>
        <w:rPr>
          <w:bCs/>
          <w:sz w:val="18"/>
          <w:szCs w:val="20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187A4D">
        <w:rPr>
          <w:bCs/>
          <w:sz w:val="18"/>
        </w:rPr>
        <w:t xml:space="preserve">           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 xml:space="preserve">______________ 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                                                                                                       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>________________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</w:t>
      </w:r>
      <w:r w:rsidRPr="00AD29D4">
        <w:rPr>
          <w:bCs/>
          <w:sz w:val="16"/>
          <w:szCs w:val="16"/>
        </w:rPr>
        <w:t>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2B3D47" w:rsidRPr="002B3D47">
        <w:rPr>
          <w:color w:val="000000"/>
          <w:sz w:val="21"/>
        </w:rPr>
        <w:t>{{</w:t>
      </w:r>
      <w:proofErr w:type="spellStart"/>
      <w:r w:rsidR="002B3D47" w:rsidRPr="002B3D47">
        <w:rPr>
          <w:color w:val="000000"/>
          <w:sz w:val="21"/>
        </w:rPr>
        <w:t>dogovor_number</w:t>
      </w:r>
      <w:proofErr w:type="spellEnd"/>
      <w:r w:rsidR="002B3D47" w:rsidRPr="002B3D47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proofErr w:type="spellStart"/>
      <w:r w:rsidRPr="006151EA">
        <w:rPr>
          <w:b/>
          <w:bCs/>
          <w:u w:val="single"/>
          <w:lang w:val="en-US"/>
        </w:rPr>
        <w:t>klient</w:t>
      </w:r>
      <w:proofErr w:type="spellEnd"/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proofErr w:type="spellStart"/>
      <w:r w:rsidRPr="006151EA">
        <w:rPr>
          <w:b/>
          <w:bCs/>
          <w:u w:val="single"/>
          <w:lang w:val="en-US"/>
        </w:rPr>
        <w:t>adres</w:t>
      </w:r>
      <w:proofErr w:type="spellEnd"/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</w:t>
      </w:r>
      <w:proofErr w:type="gramStart"/>
      <w:r>
        <w:rPr>
          <w:b/>
        </w:rPr>
        <w:t>изменения  телефонов</w:t>
      </w:r>
      <w:proofErr w:type="gramEnd"/>
      <w:r>
        <w:rPr>
          <w:b/>
        </w:rPr>
        <w:t xml:space="preserve">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>Клиент»  в</w:t>
      </w:r>
      <w:proofErr w:type="gramEnd"/>
      <w:r>
        <w:rPr>
          <w:b/>
        </w:rPr>
        <w:t xml:space="preserve">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0E403F" w:rsidRPr="000E403F">
        <w:rPr>
          <w:color w:val="000000"/>
          <w:sz w:val="21"/>
        </w:rPr>
        <w:t>{{</w:t>
      </w:r>
      <w:proofErr w:type="spellStart"/>
      <w:r w:rsidR="000E403F" w:rsidRPr="000E403F">
        <w:rPr>
          <w:color w:val="000000"/>
          <w:sz w:val="21"/>
        </w:rPr>
        <w:t>dogovor_number</w:t>
      </w:r>
      <w:proofErr w:type="spellEnd"/>
      <w:r w:rsidR="000E403F" w:rsidRPr="000E403F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</w:t>
      </w:r>
      <w:proofErr w:type="spellStart"/>
      <w:r w:rsidR="000E403F" w:rsidRPr="000E403F">
        <w:rPr>
          <w:bCs/>
          <w:sz w:val="28"/>
        </w:rPr>
        <w:t>dogovor_number</w:t>
      </w:r>
      <w:proofErr w:type="spellEnd"/>
      <w:r w:rsidR="000E403F" w:rsidRPr="000E403F">
        <w:rPr>
          <w:bCs/>
          <w:sz w:val="28"/>
        </w:rPr>
        <w:t>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</w:t>
      </w:r>
      <w:proofErr w:type="gramStart"/>
      <w:r>
        <w:t xml:space="preserve">   </w:t>
      </w:r>
      <w:r w:rsidR="000E403F" w:rsidRPr="000E403F">
        <w:t>{</w:t>
      </w:r>
      <w:proofErr w:type="gramEnd"/>
      <w:r w:rsidR="000E403F" w:rsidRPr="000E403F">
        <w:t>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>Отправитель</w:t>
      </w:r>
      <w:proofErr w:type="gramStart"/>
      <w:r w:rsidRPr="009868F0">
        <w:t xml:space="preserve"> </w:t>
      </w:r>
      <w:r w:rsidRPr="009868F0">
        <w:rPr>
          <w:bCs/>
        </w:rPr>
        <w:t xml:space="preserve">  </w:t>
      </w:r>
      <w:r w:rsidR="000E403F" w:rsidRPr="000E403F">
        <w:rPr>
          <w:b/>
        </w:rPr>
        <w:t>{</w:t>
      </w:r>
      <w:proofErr w:type="gramEnd"/>
      <w:r w:rsidR="000E403F" w:rsidRPr="000E403F">
        <w:rPr>
          <w:b/>
        </w:rPr>
        <w:t>{</w:t>
      </w:r>
      <w:proofErr w:type="spellStart"/>
      <w:r w:rsidR="000E403F" w:rsidRPr="000E403F">
        <w:rPr>
          <w:b/>
        </w:rPr>
        <w:t>company_name</w:t>
      </w:r>
      <w:proofErr w:type="spellEnd"/>
      <w:r w:rsidR="000E403F" w:rsidRPr="000E403F">
        <w:rPr>
          <w:b/>
        </w:rPr>
        <w:t>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</w:t>
      </w:r>
      <w:proofErr w:type="spellStart"/>
      <w:r w:rsidR="003B6415" w:rsidRPr="00CD2C36">
        <w:rPr>
          <w:b/>
          <w:bCs/>
        </w:rPr>
        <w:t>klient_name</w:t>
      </w:r>
      <w:proofErr w:type="spellEnd"/>
      <w:r w:rsidR="003B6415" w:rsidRPr="00CD2C36">
        <w:rPr>
          <w:b/>
          <w:bCs/>
        </w:rPr>
        <w:t>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</w:t>
      </w:r>
      <w:proofErr w:type="spellStart"/>
      <w:r w:rsidR="00363A23" w:rsidRPr="00363A23">
        <w:rPr>
          <w:b/>
        </w:rPr>
        <w:t>adres</w:t>
      </w:r>
      <w:proofErr w:type="spellEnd"/>
      <w:r w:rsidR="00363A23" w:rsidRPr="00363A23">
        <w:rPr>
          <w:b/>
        </w:rPr>
        <w:t>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>{{</w:t>
      </w:r>
      <w:proofErr w:type="spellStart"/>
      <w:r w:rsidR="003B6415" w:rsidRPr="003B6415">
        <w:t>dogovor_number</w:t>
      </w:r>
      <w:proofErr w:type="spellEnd"/>
      <w:proofErr w:type="gramStart"/>
      <w:r w:rsidR="003B6415" w:rsidRPr="003B6415">
        <w:t xml:space="preserve">}} </w:t>
      </w:r>
      <w:r>
        <w:t xml:space="preserve"> -</w:t>
      </w:r>
      <w:proofErr w:type="gramEnd"/>
      <w:r>
        <w:t xml:space="preserve"> </w:t>
      </w:r>
      <w:r w:rsidR="003B6415" w:rsidRPr="003B6415">
        <w:t>{{</w:t>
      </w:r>
      <w:proofErr w:type="spellStart"/>
      <w:r w:rsidR="003B6415" w:rsidRPr="003B6415">
        <w:t>company_name</w:t>
      </w:r>
      <w:proofErr w:type="spellEnd"/>
      <w:r w:rsidR="003B6415" w:rsidRPr="003B6415">
        <w:t>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0F7601">
              <w:rPr>
                <w:sz w:val="22"/>
                <w:szCs w:val="22"/>
              </w:rPr>
              <w:t>передачи  сигналов</w:t>
            </w:r>
            <w:proofErr w:type="gramEnd"/>
            <w:r w:rsidRPr="000F7601">
              <w:rPr>
                <w:sz w:val="22"/>
                <w:szCs w:val="22"/>
              </w:rPr>
              <w:t xml:space="preserve">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A47157">
              <w:rPr>
                <w:sz w:val="22"/>
                <w:szCs w:val="22"/>
              </w:rPr>
              <w:t xml:space="preserve">{{ </w:t>
            </w:r>
            <w:proofErr w:type="spellStart"/>
            <w:r w:rsidRPr="00A47157">
              <w:rPr>
                <w:sz w:val="22"/>
                <w:szCs w:val="22"/>
              </w:rPr>
              <w:t>vid</w:t>
            </w:r>
            <w:proofErr w:type="gramEnd"/>
            <w:r w:rsidRPr="00A47157">
              <w:rPr>
                <w:sz w:val="22"/>
                <w:szCs w:val="22"/>
              </w:rPr>
              <w:t>_rpo</w:t>
            </w:r>
            <w:proofErr w:type="spellEnd"/>
            <w:r w:rsidRPr="00A47157">
              <w:rPr>
                <w:sz w:val="22"/>
                <w:szCs w:val="22"/>
              </w:rPr>
              <w:t xml:space="preserve">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  <w:lang w:eastAsia="en-US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  <w:lang w:eastAsia="en-US"/>
              </w:rPr>
              <w:t>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6F8" w:rsidRDefault="00FB46F8">
      <w:r>
        <w:separator/>
      </w:r>
    </w:p>
  </w:endnote>
  <w:endnote w:type="continuationSeparator" w:id="0">
    <w:p w:rsidR="00FB46F8" w:rsidRDefault="00FB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6F8" w:rsidRDefault="00FB46F8">
      <w:r>
        <w:separator/>
      </w:r>
    </w:p>
  </w:footnote>
  <w:footnote w:type="continuationSeparator" w:id="0">
    <w:p w:rsidR="00FB46F8" w:rsidRDefault="00FB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87A4D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2F39"/>
    <w:rsid w:val="00324A5F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C5DCB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579CC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5760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3AD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0AB1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25C7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35E14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2F98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21C4"/>
    <w:rsid w:val="00BD489A"/>
    <w:rsid w:val="00BD570E"/>
    <w:rsid w:val="00BD70D8"/>
    <w:rsid w:val="00BE44C9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1714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4D12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B46F8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0BAAE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5769</Words>
  <Characters>32884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42</cp:revision>
  <cp:lastPrinted>2016-10-19T08:09:00Z</cp:lastPrinted>
  <dcterms:created xsi:type="dcterms:W3CDTF">2023-01-04T09:31:00Z</dcterms:created>
  <dcterms:modified xsi:type="dcterms:W3CDTF">2024-09-30T11:41:00Z</dcterms:modified>
</cp:coreProperties>
</file>