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Лабораторная  работа №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1</w:t>
      </w: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Основные положения общей теории систем</w:t>
      </w: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24"/>
          <w:szCs w:val="24"/>
        </w:rPr>
      </w:pP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Задание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1.</w:t>
      </w: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Ниже представлен один из возможных вариантов классификации систем</w:t>
      </w: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Таблица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– Классификация систем</w:t>
      </w: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tbl>
      <w:tblPr>
        <w:tblW w:w="991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4955"/>
        <w:gridCol w:w="4956"/>
      </w:tblGrid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Основание 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критерий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) 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классификации</w:t>
            </w:r>
          </w:p>
        </w:tc>
        <w:tc>
          <w:tcPr>
            <w:tcW w:type="dxa" w:w="49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Классы систем</w:t>
            </w:r>
          </w:p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955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По взаимодействию с внешней средой </w:t>
            </w:r>
          </w:p>
        </w:tc>
        <w:tc>
          <w:tcPr>
            <w:tcW w:type="dxa" w:w="49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Открытые </w:t>
            </w:r>
          </w:p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955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49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Закрытые </w:t>
            </w:r>
          </w:p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955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49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Комбинированные</w:t>
            </w:r>
          </w:p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955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По структуре</w:t>
            </w:r>
          </w:p>
        </w:tc>
        <w:tc>
          <w:tcPr>
            <w:tcW w:type="dxa" w:w="49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Простые </w:t>
            </w:r>
          </w:p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955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49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Сложные</w:t>
            </w:r>
          </w:p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955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49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Большие</w:t>
            </w:r>
          </w:p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955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По характеру функций</w:t>
            </w:r>
          </w:p>
        </w:tc>
        <w:tc>
          <w:tcPr>
            <w:tcW w:type="dxa" w:w="49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Специализированные </w:t>
            </w:r>
          </w:p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955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49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Многофункциональные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универсальные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955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По характеру развития</w:t>
            </w:r>
          </w:p>
        </w:tc>
        <w:tc>
          <w:tcPr>
            <w:tcW w:type="dxa" w:w="49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Стабильные </w:t>
            </w:r>
          </w:p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955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49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Развивающиеся</w:t>
            </w:r>
          </w:p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955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По степени организованности</w:t>
            </w:r>
          </w:p>
        </w:tc>
        <w:tc>
          <w:tcPr>
            <w:tcW w:type="dxa" w:w="49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Хорошо организованные</w:t>
            </w:r>
          </w:p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955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49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Плохо организованные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диффузные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955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По сложности поведения</w:t>
            </w:r>
          </w:p>
        </w:tc>
        <w:tc>
          <w:tcPr>
            <w:tcW w:type="dxa" w:w="49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Автоматические </w:t>
            </w:r>
          </w:p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955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49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 Решающие </w:t>
            </w:r>
          </w:p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955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49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Самоорганизующиеся </w:t>
            </w:r>
          </w:p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955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49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Предвидящие </w:t>
            </w:r>
          </w:p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955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49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Превращающиеся</w:t>
            </w:r>
          </w:p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955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По характеру связи между элементами</w:t>
            </w:r>
          </w:p>
        </w:tc>
        <w:tc>
          <w:tcPr>
            <w:tcW w:type="dxa" w:w="49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Детерминированные </w:t>
            </w:r>
          </w:p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955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49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Стохастические</w:t>
            </w:r>
          </w:p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955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По характеру структуры управления</w:t>
            </w:r>
          </w:p>
        </w:tc>
        <w:tc>
          <w:tcPr>
            <w:tcW w:type="dxa" w:w="49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Централизованные </w:t>
            </w:r>
          </w:p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955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49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Децентрализованные</w:t>
            </w:r>
          </w:p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955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По назначению</w:t>
            </w:r>
          </w:p>
        </w:tc>
        <w:tc>
          <w:tcPr>
            <w:tcW w:type="dxa" w:w="49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Производящие </w:t>
            </w:r>
          </w:p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955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49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Управляющие </w:t>
            </w:r>
          </w:p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955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49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Обслуживающие</w:t>
            </w:r>
          </w:p>
        </w:tc>
      </w:tr>
    </w:tbl>
    <w:p>
      <w:pPr>
        <w:pStyle w:val="Normal.0"/>
        <w:widowControl w:val="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Провести классификацию системы с учетом всех основных классификационных признаков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Результат занести в таблицу </w:t>
      </w:r>
      <w:r>
        <w:rPr>
          <w:rFonts w:ascii="Times New Roman" w:hAnsi="Times New Roman"/>
          <w:sz w:val="24"/>
          <w:szCs w:val="24"/>
          <w:rtl w:val="0"/>
          <w:lang w:val="ru-RU"/>
        </w:rPr>
        <w:t>2.</w:t>
      </w: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Таблица </w:t>
      </w:r>
      <w:r>
        <w:rPr>
          <w:rFonts w:ascii="Times New Roman" w:hAnsi="Times New Roman"/>
          <w:sz w:val="24"/>
          <w:szCs w:val="24"/>
          <w:rtl w:val="0"/>
          <w:lang w:val="ru-RU"/>
        </w:rPr>
        <w:t>2</w:t>
      </w: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ФБГОУ ВО «Кубанский государственный университет»</w:t>
      </w: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tbl>
      <w:tblPr>
        <w:tblW w:w="991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4955"/>
        <w:gridCol w:w="4955"/>
      </w:tblGrid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Основание 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критерий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) 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классификации</w:t>
            </w:r>
          </w:p>
        </w:tc>
        <w:tc>
          <w:tcPr>
            <w:tcW w:type="dxa" w:w="4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Система</w:t>
            </w:r>
          </w:p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По взаимодействию с внешней средой </w:t>
            </w:r>
          </w:p>
        </w:tc>
        <w:tc>
          <w:tcPr>
            <w:tcW w:type="dxa" w:w="4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Открытые</w:t>
            </w:r>
          </w:p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По структуре</w:t>
            </w:r>
          </w:p>
        </w:tc>
        <w:tc>
          <w:tcPr>
            <w:tcW w:type="dxa" w:w="4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Сложные</w:t>
            </w:r>
          </w:p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По характеру функций</w:t>
            </w:r>
          </w:p>
        </w:tc>
        <w:tc>
          <w:tcPr>
            <w:tcW w:type="dxa" w:w="4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rtl w:val="0"/>
                <w:lang w:val="ru-RU"/>
              </w:rPr>
              <w:t xml:space="preserve">Многофункциональные 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  <w:lang w:val="ru-RU"/>
              </w:rPr>
              <w:t>универсальные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По характеру развития</w:t>
            </w:r>
          </w:p>
        </w:tc>
        <w:tc>
          <w:tcPr>
            <w:tcW w:type="dxa" w:w="4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Развивающиеся</w:t>
            </w:r>
          </w:p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По степени организованности</w:t>
            </w:r>
          </w:p>
        </w:tc>
        <w:tc>
          <w:tcPr>
            <w:tcW w:type="dxa" w:w="4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Хорошо организованные</w:t>
            </w:r>
          </w:p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По сложности поведения</w:t>
            </w:r>
          </w:p>
        </w:tc>
        <w:tc>
          <w:tcPr>
            <w:tcW w:type="dxa" w:w="4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Превращающиеся</w:t>
            </w:r>
          </w:p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По характеру связи между элементами</w:t>
            </w:r>
          </w:p>
        </w:tc>
        <w:tc>
          <w:tcPr>
            <w:tcW w:type="dxa" w:w="4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Стохастические</w:t>
            </w:r>
          </w:p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По характеру структуры управления</w:t>
            </w:r>
          </w:p>
        </w:tc>
        <w:tc>
          <w:tcPr>
            <w:tcW w:type="dxa" w:w="4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Децентрализованные</w:t>
            </w:r>
          </w:p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По назначению</w:t>
            </w:r>
          </w:p>
        </w:tc>
        <w:tc>
          <w:tcPr>
            <w:tcW w:type="dxa" w:w="4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Управляющие</w:t>
            </w:r>
          </w:p>
        </w:tc>
      </w:tr>
    </w:tbl>
    <w:p>
      <w:pPr>
        <w:pStyle w:val="Normal.0"/>
        <w:widowControl w:val="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Symbol" w:hAnsi="Symbol" w:hint="default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высшее учебное заведение</w:t>
      </w:r>
      <w:r>
        <w:rPr>
          <w:rFonts w:ascii="Times New Roman" w:hAnsi="Times New Roman"/>
          <w:sz w:val="24"/>
          <w:szCs w:val="24"/>
          <w:rtl w:val="0"/>
          <w:lang w:val="ru-RU"/>
        </w:rPr>
        <w:t>,</w:t>
      </w: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Symbol" w:hAnsi="Symbol" w:hint="default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производственный участок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Symbol" w:hAnsi="Symbol" w:hint="default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технологический отдел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Symbol" w:hAnsi="Symbol" w:hint="default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металлорежущий станок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Symbol" w:hAnsi="Symbol" w:hint="default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предприятие</w:t>
      </w:r>
      <w:r>
        <w:rPr>
          <w:rFonts w:ascii="Times New Roman" w:hAnsi="Times New Roman"/>
          <w:sz w:val="24"/>
          <w:szCs w:val="24"/>
          <w:rtl w:val="0"/>
          <w:lang w:val="ru-RU"/>
        </w:rPr>
        <w:t>,</w:t>
      </w: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Symbol" w:hAnsi="Symbol" w:hint="default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рабочее место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Symbol" w:hAnsi="Symbol" w:hint="default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технологический процесс изготовления детали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Задание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2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рассмотреть классификацию систем и заполнить таблицу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конкретными примерами различных видов систем</w:t>
      </w:r>
    </w:p>
    <w:p>
      <w:pPr>
        <w:pStyle w:val="Normal.0"/>
        <w:spacing w:before="12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Таблица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– Классификация систем</w:t>
      </w:r>
    </w:p>
    <w:tbl>
      <w:tblPr>
        <w:tblW w:w="991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562"/>
        <w:gridCol w:w="2469"/>
        <w:gridCol w:w="2634"/>
        <w:gridCol w:w="4253"/>
      </w:tblGrid>
      <w:tr>
        <w:tblPrEx>
          <w:shd w:val="clear" w:color="auto" w:fill="d0ddef"/>
        </w:tblPrEx>
        <w:trPr>
          <w:trHeight w:val="600" w:hRule="atLeast"/>
        </w:trPr>
        <w:tc>
          <w:tcPr>
            <w:tcW w:type="dxa" w:w="5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i w:val="1"/>
                <w:iCs w:val="1"/>
                <w:sz w:val="24"/>
                <w:szCs w:val="24"/>
                <w:shd w:val="nil" w:color="auto" w:fill="auto"/>
                <w:rtl w:val="0"/>
                <w:lang w:val="ru-RU"/>
              </w:rPr>
              <w:t>Классификационный признак</w:t>
            </w:r>
          </w:p>
        </w:tc>
        <w:tc>
          <w:tcPr>
            <w:tcW w:type="dxa" w:w="26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i w:val="1"/>
                <w:iCs w:val="1"/>
                <w:sz w:val="24"/>
                <w:szCs w:val="24"/>
                <w:shd w:val="nil" w:color="auto" w:fill="auto"/>
                <w:rtl w:val="0"/>
                <w:lang w:val="ru-RU"/>
              </w:rPr>
              <w:t>Виды систем</w:t>
            </w:r>
          </w:p>
        </w:tc>
        <w:tc>
          <w:tcPr>
            <w:tcW w:type="dxa" w:w="42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i w:val="1"/>
                <w:iCs w:val="1"/>
                <w:sz w:val="24"/>
                <w:szCs w:val="24"/>
                <w:shd w:val="nil" w:color="auto" w:fill="auto"/>
                <w:rtl w:val="0"/>
                <w:lang w:val="ru-RU"/>
              </w:rPr>
              <w:t>Примеры систем</w:t>
            </w:r>
          </w:p>
        </w:tc>
      </w:tr>
      <w:tr>
        <w:tblPrEx>
          <w:shd w:val="clear" w:color="auto" w:fill="d0ddef"/>
        </w:tblPrEx>
        <w:trPr>
          <w:trHeight w:val="1200" w:hRule="atLeast"/>
        </w:trPr>
        <w:tc>
          <w:tcPr>
            <w:tcW w:type="dxa" w:w="5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24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Степень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взаимодействия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системы с внешней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i w:val="0"/>
                <w:iCs w:val="0"/>
                <w:sz w:val="24"/>
                <w:szCs w:val="24"/>
                <w:shd w:val="nil" w:color="auto" w:fill="auto"/>
                <w:rtl w:val="0"/>
                <w:lang w:val="ru-RU"/>
              </w:rPr>
              <w:t>средой</w:t>
            </w:r>
          </w:p>
        </w:tc>
        <w:tc>
          <w:tcPr>
            <w:tcW w:type="dxa" w:w="26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1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Изолированные системы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2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Закрытые системы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i w:val="0"/>
                <w:iCs w:val="0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3 </w:t>
            </w:r>
            <w:r>
              <w:rPr>
                <w:rFonts w:ascii="Times New Roman" w:hAnsi="Times New Roman" w:hint="default"/>
                <w:i w:val="0"/>
                <w:iCs w:val="0"/>
                <w:sz w:val="24"/>
                <w:szCs w:val="24"/>
                <w:shd w:val="nil" w:color="auto" w:fill="auto"/>
                <w:rtl w:val="0"/>
                <w:lang w:val="ru-RU"/>
              </w:rPr>
              <w:t>Открытые системы</w:t>
            </w:r>
          </w:p>
        </w:tc>
        <w:tc>
          <w:tcPr>
            <w:tcW w:type="dxa" w:w="42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shd w:val="clear" w:color="auto" w:fill="auto"/>
              <w:suppressAutoHyphens w:val="0"/>
              <w:bidi w:val="0"/>
              <w:spacing w:before="0" w:after="0" w:line="240" w:lineRule="auto"/>
              <w:ind w:right="0"/>
              <w:jc w:val="left"/>
              <w:outlineLvl w:val="9"/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Термос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shd w:val="clear" w:color="auto" w:fill="auto"/>
              <w:suppressAutoHyphens w:val="0"/>
              <w:bidi w:val="0"/>
              <w:spacing w:before="0" w:after="0" w:line="240" w:lineRule="auto"/>
              <w:ind w:right="0"/>
              <w:jc w:val="left"/>
              <w:outlineLvl w:val="9"/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Консервная банка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shd w:val="clear" w:color="auto" w:fill="auto"/>
              <w:suppressAutoHyphens w:val="0"/>
              <w:bidi w:val="0"/>
              <w:spacing w:before="0" w:after="0" w:line="240" w:lineRule="auto"/>
              <w:ind w:right="0"/>
              <w:jc w:val="left"/>
              <w:outlineLvl w:val="9"/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Автомобиль</w:t>
            </w:r>
          </w:p>
        </w:tc>
      </w:tr>
      <w:tr>
        <w:tblPrEx>
          <w:shd w:val="clear" w:color="auto" w:fill="d0ddef"/>
        </w:tblPrEx>
        <w:trPr>
          <w:trHeight w:val="1500" w:hRule="atLeast"/>
        </w:trPr>
        <w:tc>
          <w:tcPr>
            <w:tcW w:type="dxa" w:w="5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2</w:t>
            </w:r>
          </w:p>
        </w:tc>
        <w:tc>
          <w:tcPr>
            <w:tcW w:type="dxa" w:w="24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Размер системы</w:t>
            </w:r>
          </w:p>
        </w:tc>
        <w:tc>
          <w:tcPr>
            <w:tcW w:type="dxa" w:w="26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1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Малые простые системы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2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Средние системы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i w:val="0"/>
                <w:iCs w:val="0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3 </w:t>
            </w:r>
            <w:r>
              <w:rPr>
                <w:rFonts w:ascii="Times New Roman" w:hAnsi="Times New Roman" w:hint="default"/>
                <w:i w:val="0"/>
                <w:iCs w:val="0"/>
                <w:sz w:val="24"/>
                <w:szCs w:val="24"/>
                <w:shd w:val="nil" w:color="auto" w:fill="auto"/>
                <w:rtl w:val="0"/>
                <w:lang w:val="ru-RU"/>
              </w:rPr>
              <w:t>Большие сложные системы</w:t>
            </w:r>
          </w:p>
        </w:tc>
        <w:tc>
          <w:tcPr>
            <w:tcW w:type="dxa" w:w="42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shd w:val="clear" w:color="auto" w:fill="auto"/>
              <w:suppressAutoHyphens w:val="0"/>
              <w:bidi w:val="0"/>
              <w:spacing w:before="0" w:after="0" w:line="240" w:lineRule="auto"/>
              <w:ind w:right="0"/>
              <w:jc w:val="left"/>
              <w:outlineLvl w:val="9"/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Рычаг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shd w:val="clear" w:color="auto" w:fill="auto"/>
              <w:suppressAutoHyphens w:val="0"/>
              <w:bidi w:val="0"/>
              <w:spacing w:before="0" w:after="0" w:line="240" w:lineRule="auto"/>
              <w:ind w:right="0"/>
              <w:jc w:val="left"/>
              <w:outlineLvl w:val="9"/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Компьютер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shd w:val="clear" w:color="auto" w:fill="auto"/>
              <w:suppressAutoHyphens w:val="0"/>
              <w:bidi w:val="0"/>
              <w:spacing w:before="0" w:after="0" w:line="240" w:lineRule="auto"/>
              <w:ind w:right="0"/>
              <w:jc w:val="left"/>
              <w:outlineLvl w:val="9"/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Интернет</w:t>
            </w:r>
          </w:p>
        </w:tc>
      </w:tr>
      <w:tr>
        <w:tblPrEx>
          <w:shd w:val="clear" w:color="auto" w:fill="d0ddef"/>
        </w:tblPrEx>
        <w:trPr>
          <w:trHeight w:val="2100" w:hRule="atLeast"/>
        </w:trPr>
        <w:tc>
          <w:tcPr>
            <w:tcW w:type="dxa" w:w="5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3</w:t>
            </w:r>
          </w:p>
        </w:tc>
        <w:tc>
          <w:tcPr>
            <w:tcW w:type="dxa" w:w="24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Виды систем</w:t>
            </w:r>
          </w:p>
        </w:tc>
        <w:tc>
          <w:tcPr>
            <w:tcW w:type="dxa" w:w="26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1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Биологические системы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2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Технические системы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3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Социально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экономические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системы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в том числе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i w:val="0"/>
                <w:iCs w:val="0"/>
                <w:sz w:val="24"/>
                <w:szCs w:val="24"/>
                <w:shd w:val="nil" w:color="auto" w:fill="auto"/>
                <w:rtl w:val="0"/>
                <w:lang w:val="ru-RU"/>
              </w:rPr>
              <w:t>производственные</w:t>
            </w:r>
            <w:r>
              <w:rPr>
                <w:rFonts w:ascii="Times New Roman" w:hAnsi="Times New Roman"/>
                <w:i w:val="0"/>
                <w:iCs w:val="0"/>
                <w:sz w:val="24"/>
                <w:szCs w:val="24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42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shd w:val="clear" w:color="auto" w:fill="auto"/>
              <w:suppressAutoHyphens w:val="0"/>
              <w:bidi w:val="0"/>
              <w:spacing w:before="0" w:after="0" w:line="240" w:lineRule="auto"/>
              <w:ind w:right="0"/>
              <w:jc w:val="left"/>
              <w:outlineLvl w:val="9"/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Популяция животных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shd w:val="clear" w:color="auto" w:fill="auto"/>
              <w:suppressAutoHyphens w:val="0"/>
              <w:bidi w:val="0"/>
              <w:spacing w:before="0" w:after="0" w:line="240" w:lineRule="auto"/>
              <w:ind w:right="0"/>
              <w:jc w:val="left"/>
              <w:outlineLvl w:val="9"/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Самолет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shd w:val="clear" w:color="auto" w:fill="auto"/>
              <w:suppressAutoHyphens w:val="0"/>
              <w:bidi w:val="0"/>
              <w:spacing w:before="0" w:after="0" w:line="240" w:lineRule="auto"/>
              <w:ind w:right="0"/>
              <w:jc w:val="left"/>
              <w:outlineLvl w:val="9"/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Профсоюз</w:t>
            </w:r>
          </w:p>
        </w:tc>
      </w:tr>
      <w:tr>
        <w:tblPrEx>
          <w:shd w:val="clear" w:color="auto" w:fill="d0ddef"/>
        </w:tblPrEx>
        <w:trPr>
          <w:trHeight w:val="3000" w:hRule="atLeast"/>
        </w:trPr>
        <w:tc>
          <w:tcPr>
            <w:tcW w:type="dxa" w:w="5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4</w:t>
            </w:r>
          </w:p>
        </w:tc>
        <w:tc>
          <w:tcPr>
            <w:tcW w:type="dxa" w:w="24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Степень свободы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системы по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отношению к внешней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i w:val="0"/>
                <w:iCs w:val="0"/>
                <w:sz w:val="24"/>
                <w:szCs w:val="24"/>
                <w:shd w:val="nil" w:color="auto" w:fill="auto"/>
                <w:rtl w:val="0"/>
                <w:lang w:val="ru-RU"/>
              </w:rPr>
              <w:t>среде</w:t>
            </w:r>
          </w:p>
        </w:tc>
        <w:tc>
          <w:tcPr>
            <w:tcW w:type="dxa" w:w="26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1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Относительно самостоятельные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,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юридически и физически независимые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системы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2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Несамостоятельные системы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подсистемы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)</w:t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r>
          </w:p>
        </w:tc>
        <w:tc>
          <w:tcPr>
            <w:tcW w:type="dxa" w:w="42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shd w:val="clear" w:color="auto" w:fill="auto"/>
              <w:suppressAutoHyphens w:val="0"/>
              <w:bidi w:val="0"/>
              <w:spacing w:before="0" w:after="0" w:line="240" w:lineRule="auto"/>
              <w:ind w:right="0"/>
              <w:jc w:val="left"/>
              <w:outlineLvl w:val="9"/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Ч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еловек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shd w:val="clear" w:color="auto" w:fill="auto"/>
              <w:suppressAutoHyphens w:val="0"/>
              <w:bidi w:val="0"/>
              <w:spacing w:before="0" w:after="0" w:line="240" w:lineRule="auto"/>
              <w:ind w:right="0"/>
              <w:jc w:val="left"/>
              <w:outlineLvl w:val="9"/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Кафедра</w:t>
            </w:r>
          </w:p>
        </w:tc>
      </w:tr>
      <w:tr>
        <w:tblPrEx>
          <w:shd w:val="clear" w:color="auto" w:fill="d0ddef"/>
        </w:tblPrEx>
        <w:trPr>
          <w:trHeight w:val="1200" w:hRule="atLeast"/>
        </w:trPr>
        <w:tc>
          <w:tcPr>
            <w:tcW w:type="dxa" w:w="5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5</w:t>
            </w:r>
          </w:p>
        </w:tc>
        <w:tc>
          <w:tcPr>
            <w:tcW w:type="dxa" w:w="24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Уровень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специализации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i w:val="0"/>
                <w:iCs w:val="0"/>
                <w:sz w:val="24"/>
                <w:szCs w:val="24"/>
                <w:shd w:val="nil" w:color="auto" w:fill="auto"/>
                <w:rtl w:val="0"/>
                <w:lang w:val="ru-RU"/>
              </w:rPr>
              <w:t>системы</w:t>
            </w:r>
          </w:p>
        </w:tc>
        <w:tc>
          <w:tcPr>
            <w:tcW w:type="dxa" w:w="26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1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Комплексные системы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i w:val="0"/>
                <w:iCs w:val="0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2 </w:t>
            </w:r>
            <w:r>
              <w:rPr>
                <w:rFonts w:ascii="Times New Roman" w:hAnsi="Times New Roman" w:hint="default"/>
                <w:i w:val="0"/>
                <w:iCs w:val="0"/>
                <w:sz w:val="24"/>
                <w:szCs w:val="24"/>
                <w:shd w:val="nil" w:color="auto" w:fill="auto"/>
                <w:rtl w:val="0"/>
                <w:lang w:val="ru-RU"/>
              </w:rPr>
              <w:t>Специализированные системы</w:t>
            </w:r>
          </w:p>
        </w:tc>
        <w:tc>
          <w:tcPr>
            <w:tcW w:type="dxa" w:w="42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shd w:val="clear" w:color="auto" w:fill="auto"/>
              <w:suppressAutoHyphens w:val="0"/>
              <w:bidi w:val="0"/>
              <w:spacing w:before="0" w:after="0" w:line="240" w:lineRule="auto"/>
              <w:ind w:right="0"/>
              <w:jc w:val="left"/>
              <w:outlineLvl w:val="9"/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Университет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shd w:val="clear" w:color="auto" w:fill="auto"/>
              <w:suppressAutoHyphens w:val="0"/>
              <w:bidi w:val="0"/>
              <w:spacing w:before="0" w:after="0" w:line="240" w:lineRule="auto"/>
              <w:ind w:right="0"/>
              <w:jc w:val="left"/>
              <w:outlineLvl w:val="9"/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Калькулятор</w:t>
            </w:r>
          </w:p>
        </w:tc>
      </w:tr>
      <w:tr>
        <w:tblPrEx>
          <w:shd w:val="clear" w:color="auto" w:fill="d0ddef"/>
        </w:tblPrEx>
        <w:trPr>
          <w:trHeight w:val="1800" w:hRule="atLeast"/>
        </w:trPr>
        <w:tc>
          <w:tcPr>
            <w:tcW w:type="dxa" w:w="5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6</w:t>
            </w:r>
          </w:p>
        </w:tc>
        <w:tc>
          <w:tcPr>
            <w:tcW w:type="dxa" w:w="24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Продолжительность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функционирования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i w:val="0"/>
                <w:iCs w:val="0"/>
                <w:sz w:val="24"/>
                <w:szCs w:val="24"/>
                <w:shd w:val="nil" w:color="auto" w:fill="auto"/>
                <w:rtl w:val="0"/>
                <w:lang w:val="ru-RU"/>
              </w:rPr>
              <w:t>системы</w:t>
            </w:r>
          </w:p>
        </w:tc>
        <w:tc>
          <w:tcPr>
            <w:tcW w:type="dxa" w:w="26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1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Системы кратковременного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действия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жизни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)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2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Дискретные системы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i w:val="0"/>
                <w:iCs w:val="0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3 </w:t>
            </w:r>
            <w:r>
              <w:rPr>
                <w:rFonts w:ascii="Times New Roman" w:hAnsi="Times New Roman" w:hint="default"/>
                <w:i w:val="0"/>
                <w:iCs w:val="0"/>
                <w:sz w:val="24"/>
                <w:szCs w:val="24"/>
                <w:shd w:val="nil" w:color="auto" w:fill="auto"/>
                <w:rtl w:val="0"/>
                <w:lang w:val="ru-RU"/>
              </w:rPr>
              <w:t>Долговременные системы</w:t>
            </w:r>
          </w:p>
        </w:tc>
        <w:tc>
          <w:tcPr>
            <w:tcW w:type="dxa" w:w="42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shd w:val="clear" w:color="auto" w:fill="auto"/>
              <w:suppressAutoHyphens w:val="0"/>
              <w:bidi w:val="0"/>
              <w:spacing w:before="0" w:after="0" w:line="240" w:lineRule="auto"/>
              <w:ind w:right="0"/>
              <w:jc w:val="left"/>
              <w:outlineLvl w:val="9"/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Баллон гелия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shd w:val="clear" w:color="auto" w:fill="auto"/>
              <w:suppressAutoHyphens w:val="0"/>
              <w:bidi w:val="0"/>
              <w:spacing w:before="0" w:after="0" w:line="240" w:lineRule="auto"/>
              <w:ind w:right="0"/>
              <w:jc w:val="left"/>
              <w:outlineLvl w:val="9"/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Трамвай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shd w:val="clear" w:color="auto" w:fill="auto"/>
              <w:suppressAutoHyphens w:val="0"/>
              <w:bidi w:val="0"/>
              <w:spacing w:before="0" w:after="0" w:line="240" w:lineRule="auto"/>
              <w:ind w:right="0"/>
              <w:jc w:val="left"/>
              <w:outlineLvl w:val="9"/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Государство</w:t>
            </w:r>
          </w:p>
        </w:tc>
      </w:tr>
      <w:tr>
        <w:tblPrEx>
          <w:shd w:val="clear" w:color="auto" w:fill="d0ddef"/>
        </w:tblPrEx>
        <w:trPr>
          <w:trHeight w:val="1500" w:hRule="atLeast"/>
        </w:trPr>
        <w:tc>
          <w:tcPr>
            <w:tcW w:type="dxa" w:w="5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7</w:t>
            </w:r>
          </w:p>
        </w:tc>
        <w:tc>
          <w:tcPr>
            <w:tcW w:type="dxa" w:w="24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Способ описания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i w:val="0"/>
                <w:iCs w:val="0"/>
                <w:sz w:val="24"/>
                <w:szCs w:val="24"/>
                <w:shd w:val="nil" w:color="auto" w:fill="auto"/>
                <w:rtl w:val="0"/>
                <w:lang w:val="ru-RU"/>
              </w:rPr>
              <w:t>системы</w:t>
            </w:r>
          </w:p>
        </w:tc>
        <w:tc>
          <w:tcPr>
            <w:tcW w:type="dxa" w:w="26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1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Детерминированные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2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Стохастические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вероятностные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)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3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Нечеткие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описательные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42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shd w:val="clear" w:color="auto" w:fill="auto"/>
              <w:suppressAutoHyphens w:val="0"/>
              <w:bidi w:val="0"/>
              <w:spacing w:before="0" w:after="0" w:line="240" w:lineRule="auto"/>
              <w:ind w:right="0"/>
              <w:jc w:val="left"/>
              <w:outlineLvl w:val="9"/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Видеорегмстратор 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shd w:val="clear" w:color="auto" w:fill="auto"/>
              <w:suppressAutoHyphens w:val="0"/>
              <w:bidi w:val="0"/>
              <w:spacing w:before="0" w:after="0" w:line="240" w:lineRule="auto"/>
              <w:ind w:right="0"/>
              <w:jc w:val="left"/>
              <w:outlineLvl w:val="9"/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Броуновское движение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shd w:val="clear" w:color="auto" w:fill="auto"/>
              <w:suppressAutoHyphens w:val="0"/>
              <w:bidi w:val="0"/>
              <w:spacing w:before="0" w:after="0" w:line="240" w:lineRule="auto"/>
              <w:ind w:right="0"/>
              <w:jc w:val="left"/>
              <w:outlineLvl w:val="9"/>
              <w:rPr>
                <w:rFonts w:ascii="Times New Roman" w:cs="Arial Unicode MS" w:hAnsi="Times New Roman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HR-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системы</w:t>
            </w:r>
          </w:p>
        </w:tc>
      </w:tr>
      <w:tr>
        <w:tblPrEx>
          <w:shd w:val="clear" w:color="auto" w:fill="d0ddef"/>
        </w:tblPrEx>
        <w:trPr>
          <w:trHeight w:val="900" w:hRule="atLeast"/>
        </w:trPr>
        <w:tc>
          <w:tcPr>
            <w:tcW w:type="dxa" w:w="5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8</w:t>
            </w:r>
          </w:p>
        </w:tc>
        <w:tc>
          <w:tcPr>
            <w:tcW w:type="dxa" w:w="24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Тип величин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,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используемых в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i w:val="0"/>
                <w:iCs w:val="0"/>
                <w:sz w:val="24"/>
                <w:szCs w:val="24"/>
                <w:shd w:val="nil" w:color="auto" w:fill="auto"/>
                <w:rtl w:val="0"/>
                <w:lang w:val="ru-RU"/>
              </w:rPr>
              <w:t>субстанции системы</w:t>
            </w:r>
          </w:p>
        </w:tc>
        <w:tc>
          <w:tcPr>
            <w:tcW w:type="dxa" w:w="26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1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Физические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i w:val="0"/>
                <w:iCs w:val="0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2 </w:t>
            </w:r>
            <w:r>
              <w:rPr>
                <w:rFonts w:ascii="Times New Roman" w:hAnsi="Times New Roman" w:hint="default"/>
                <w:i w:val="0"/>
                <w:iCs w:val="0"/>
                <w:sz w:val="24"/>
                <w:szCs w:val="24"/>
                <w:shd w:val="nil" w:color="auto" w:fill="auto"/>
                <w:rtl w:val="0"/>
                <w:lang w:val="ru-RU"/>
              </w:rPr>
              <w:t>Абстрактные</w:t>
            </w:r>
          </w:p>
        </w:tc>
        <w:tc>
          <w:tcPr>
            <w:tcW w:type="dxa" w:w="42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shd w:val="clear" w:color="auto" w:fill="auto"/>
              <w:suppressAutoHyphens w:val="0"/>
              <w:bidi w:val="0"/>
              <w:spacing w:before="0" w:after="0" w:line="240" w:lineRule="auto"/>
              <w:ind w:right="0"/>
              <w:jc w:val="left"/>
              <w:outlineLvl w:val="9"/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Двигатель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shd w:val="clear" w:color="auto" w:fill="auto"/>
              <w:suppressAutoHyphens w:val="0"/>
              <w:bidi w:val="0"/>
              <w:spacing w:before="0" w:after="0" w:line="240" w:lineRule="auto"/>
              <w:ind w:right="0"/>
              <w:jc w:val="left"/>
              <w:outlineLvl w:val="9"/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Система квадратных уравнений</w:t>
            </w:r>
          </w:p>
        </w:tc>
      </w:tr>
      <w:tr>
        <w:tblPrEx>
          <w:shd w:val="clear" w:color="auto" w:fill="d0ddef"/>
        </w:tblPrEx>
        <w:trPr>
          <w:trHeight w:val="600" w:hRule="atLeast"/>
        </w:trPr>
        <w:tc>
          <w:tcPr>
            <w:tcW w:type="dxa" w:w="5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9</w:t>
            </w:r>
          </w:p>
        </w:tc>
        <w:tc>
          <w:tcPr>
            <w:tcW w:type="dxa" w:w="24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Происхождение</w:t>
            </w:r>
          </w:p>
        </w:tc>
        <w:tc>
          <w:tcPr>
            <w:tcW w:type="dxa" w:w="26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1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Искусственные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i w:val="0"/>
                <w:iCs w:val="0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2 </w:t>
            </w:r>
            <w:r>
              <w:rPr>
                <w:rFonts w:ascii="Times New Roman" w:hAnsi="Times New Roman" w:hint="default"/>
                <w:i w:val="0"/>
                <w:iCs w:val="0"/>
                <w:sz w:val="24"/>
                <w:szCs w:val="24"/>
                <w:shd w:val="nil" w:color="auto" w:fill="auto"/>
                <w:rtl w:val="0"/>
                <w:lang w:val="ru-RU"/>
              </w:rPr>
              <w:t>Естественные</w:t>
            </w:r>
          </w:p>
        </w:tc>
        <w:tc>
          <w:tcPr>
            <w:tcW w:type="dxa" w:w="42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shd w:val="clear" w:color="auto" w:fill="auto"/>
              <w:suppressAutoHyphens w:val="0"/>
              <w:bidi w:val="0"/>
              <w:spacing w:before="0" w:after="0" w:line="240" w:lineRule="auto"/>
              <w:ind w:right="0"/>
              <w:jc w:val="left"/>
              <w:outlineLvl w:val="9"/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Город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shd w:val="clear" w:color="auto" w:fill="auto"/>
              <w:suppressAutoHyphens w:val="0"/>
              <w:bidi w:val="0"/>
              <w:spacing w:before="0" w:after="0" w:line="240" w:lineRule="auto"/>
              <w:ind w:right="0"/>
              <w:jc w:val="left"/>
              <w:outlineLvl w:val="9"/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Озеро Байкал</w:t>
            </w:r>
          </w:p>
        </w:tc>
      </w:tr>
      <w:tr>
        <w:tblPrEx>
          <w:shd w:val="clear" w:color="auto" w:fill="d0ddef"/>
        </w:tblPrEx>
        <w:trPr>
          <w:trHeight w:val="1200" w:hRule="atLeast"/>
        </w:trPr>
        <w:tc>
          <w:tcPr>
            <w:tcW w:type="dxa" w:w="5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10</w:t>
            </w:r>
          </w:p>
        </w:tc>
        <w:tc>
          <w:tcPr>
            <w:tcW w:type="dxa" w:w="24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Чувствительность к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внешним и внутренним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i w:val="0"/>
                <w:iCs w:val="0"/>
                <w:sz w:val="24"/>
                <w:szCs w:val="24"/>
                <w:shd w:val="nil" w:color="auto" w:fill="auto"/>
                <w:rtl w:val="0"/>
                <w:lang w:val="ru-RU"/>
              </w:rPr>
              <w:t>воздействиям</w:t>
            </w:r>
          </w:p>
        </w:tc>
        <w:tc>
          <w:tcPr>
            <w:tcW w:type="dxa" w:w="26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1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Мягкие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i w:val="0"/>
                <w:iCs w:val="0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2 </w:t>
            </w:r>
            <w:r>
              <w:rPr>
                <w:rFonts w:ascii="Times New Roman" w:hAnsi="Times New Roman" w:hint="default"/>
                <w:i w:val="0"/>
                <w:iCs w:val="0"/>
                <w:sz w:val="24"/>
                <w:szCs w:val="24"/>
                <w:shd w:val="nil" w:color="auto" w:fill="auto"/>
                <w:rtl w:val="0"/>
                <w:lang w:val="ru-RU"/>
              </w:rPr>
              <w:t>Жесткие</w:t>
            </w:r>
          </w:p>
        </w:tc>
        <w:tc>
          <w:tcPr>
            <w:tcW w:type="dxa" w:w="42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shd w:val="clear" w:color="auto" w:fill="auto"/>
              <w:suppressAutoHyphens w:val="0"/>
              <w:bidi w:val="0"/>
              <w:spacing w:before="0" w:after="0" w:line="240" w:lineRule="auto"/>
              <w:ind w:right="0"/>
              <w:jc w:val="left"/>
              <w:outlineLvl w:val="9"/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Рынок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shd w:val="clear" w:color="auto" w:fill="auto"/>
              <w:suppressAutoHyphens w:val="0"/>
              <w:bidi w:val="0"/>
              <w:spacing w:before="0" w:after="0" w:line="240" w:lineRule="auto"/>
              <w:ind w:right="0"/>
              <w:jc w:val="left"/>
              <w:outlineLvl w:val="9"/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Законы робототехники</w:t>
            </w:r>
          </w:p>
        </w:tc>
      </w:tr>
      <w:tr>
        <w:tblPrEx>
          <w:shd w:val="clear" w:color="auto" w:fill="d0ddef"/>
        </w:tblPrEx>
        <w:trPr>
          <w:trHeight w:val="600" w:hRule="atLeast"/>
        </w:trPr>
        <w:tc>
          <w:tcPr>
            <w:tcW w:type="dxa" w:w="5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11</w:t>
            </w:r>
          </w:p>
        </w:tc>
        <w:tc>
          <w:tcPr>
            <w:tcW w:type="dxa" w:w="24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Отношение к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i w:val="0"/>
                <w:iCs w:val="0"/>
                <w:sz w:val="24"/>
                <w:szCs w:val="24"/>
                <w:shd w:val="nil" w:color="auto" w:fill="auto"/>
                <w:rtl w:val="0"/>
                <w:lang w:val="ru-RU"/>
              </w:rPr>
              <w:t>инновациям</w:t>
            </w:r>
          </w:p>
        </w:tc>
        <w:tc>
          <w:tcPr>
            <w:tcW w:type="dxa" w:w="26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1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Активные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i w:val="0"/>
                <w:iCs w:val="0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2 </w:t>
            </w:r>
            <w:r>
              <w:rPr>
                <w:rFonts w:ascii="Times New Roman" w:hAnsi="Times New Roman" w:hint="default"/>
                <w:i w:val="0"/>
                <w:iCs w:val="0"/>
                <w:sz w:val="24"/>
                <w:szCs w:val="24"/>
                <w:shd w:val="nil" w:color="auto" w:fill="auto"/>
                <w:rtl w:val="0"/>
                <w:lang w:val="ru-RU"/>
              </w:rPr>
              <w:t>Пассивные</w:t>
            </w:r>
          </w:p>
        </w:tc>
        <w:tc>
          <w:tcPr>
            <w:tcW w:type="dxa" w:w="42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shd w:val="clear" w:color="auto" w:fill="auto"/>
              <w:suppressAutoHyphens w:val="0"/>
              <w:bidi w:val="0"/>
              <w:spacing w:before="0" w:after="0" w:line="240" w:lineRule="auto"/>
              <w:ind w:right="0"/>
              <w:jc w:val="left"/>
              <w:outlineLvl w:val="9"/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Стартап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shd w:val="clear" w:color="auto" w:fill="auto"/>
              <w:suppressAutoHyphens w:val="0"/>
              <w:bidi w:val="0"/>
              <w:spacing w:before="0" w:after="0" w:line="240" w:lineRule="auto"/>
              <w:ind w:right="0"/>
              <w:jc w:val="left"/>
              <w:outlineLvl w:val="9"/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Телевизор</w:t>
            </w:r>
          </w:p>
        </w:tc>
      </w:tr>
    </w:tbl>
    <w:p>
      <w:pPr>
        <w:pStyle w:val="Normal.0"/>
        <w:widowControl w:val="0"/>
        <w:spacing w:before="12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rPr>
          <w:rFonts w:ascii="Times New Roman" w:cs="Times New Roman" w:hAnsi="Times New Roman" w:eastAsia="Times New Roman"/>
          <w:i w:val="1"/>
          <w:iCs w:val="1"/>
          <w:sz w:val="24"/>
          <w:szCs w:val="24"/>
        </w:rPr>
      </w:pPr>
    </w:p>
    <w:p>
      <w:pPr>
        <w:pStyle w:val="Normal.0"/>
        <w:spacing w:after="12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Задание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3. </w:t>
      </w:r>
    </w:p>
    <w:p>
      <w:pPr>
        <w:pStyle w:val="Normal.0"/>
        <w:spacing w:after="120"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Оценить влияние факторов внешней среды на функционирование организации </w:t>
      </w:r>
      <w:r>
        <w:rPr>
          <w:rFonts w:ascii="Times New Roman" w:hAnsi="Times New Roman"/>
          <w:sz w:val="24"/>
          <w:szCs w:val="24"/>
          <w:rtl w:val="0"/>
          <w:lang w:val="ru-RU"/>
        </w:rPr>
        <w:t>(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заполнить таблицу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4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 сделать выводы</w:t>
      </w:r>
      <w:r>
        <w:rPr>
          <w:rFonts w:ascii="Times New Roman" w:hAnsi="Times New Roman"/>
          <w:sz w:val="24"/>
          <w:szCs w:val="24"/>
          <w:rtl w:val="0"/>
          <w:lang w:val="ru-RU"/>
        </w:rPr>
        <w:t>)</w:t>
      </w:r>
    </w:p>
    <w:p>
      <w:pPr>
        <w:pStyle w:val="Normal.0"/>
        <w:spacing w:after="12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Для оценки использовать пятибалльную шкалу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Normal.0"/>
        <w:spacing w:after="12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полная зависимость ‒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5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баллов</w:t>
      </w:r>
      <w:r>
        <w:rPr>
          <w:rFonts w:ascii="Times New Roman" w:hAnsi="Times New Roman"/>
          <w:sz w:val="24"/>
          <w:szCs w:val="24"/>
          <w:rtl w:val="0"/>
          <w:lang w:val="ru-RU"/>
        </w:rPr>
        <w:t>;</w:t>
      </w:r>
    </w:p>
    <w:p>
      <w:pPr>
        <w:pStyle w:val="Normal.0"/>
        <w:spacing w:after="12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частичная зависимость –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4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балла</w:t>
      </w:r>
      <w:r>
        <w:rPr>
          <w:rFonts w:ascii="Times New Roman" w:hAnsi="Times New Roman"/>
          <w:sz w:val="24"/>
          <w:szCs w:val="24"/>
          <w:rtl w:val="0"/>
          <w:lang w:val="ru-RU"/>
        </w:rPr>
        <w:t>;</w:t>
      </w:r>
    </w:p>
    <w:p>
      <w:pPr>
        <w:pStyle w:val="Normal.0"/>
        <w:spacing w:after="12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относительная зависимость ‒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балла</w:t>
      </w:r>
      <w:r>
        <w:rPr>
          <w:rFonts w:ascii="Times New Roman" w:hAnsi="Times New Roman"/>
          <w:sz w:val="24"/>
          <w:szCs w:val="24"/>
          <w:rtl w:val="0"/>
          <w:lang w:val="ru-RU"/>
        </w:rPr>
        <w:t>;</w:t>
      </w:r>
    </w:p>
    <w:p>
      <w:pPr>
        <w:pStyle w:val="Normal.0"/>
        <w:spacing w:after="12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временная зависимость –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балла</w:t>
      </w:r>
      <w:r>
        <w:rPr>
          <w:rFonts w:ascii="Times New Roman" w:hAnsi="Times New Roman"/>
          <w:sz w:val="24"/>
          <w:szCs w:val="24"/>
          <w:rtl w:val="0"/>
          <w:lang w:val="ru-RU"/>
        </w:rPr>
        <w:t>;</w:t>
      </w:r>
    </w:p>
    <w:p>
      <w:pPr>
        <w:pStyle w:val="Normal.0"/>
        <w:spacing w:after="12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неявная зависимость ‒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балл</w:t>
      </w:r>
      <w:r>
        <w:rPr>
          <w:rFonts w:ascii="Times New Roman" w:hAnsi="Times New Roman"/>
          <w:sz w:val="24"/>
          <w:szCs w:val="24"/>
          <w:rtl w:val="0"/>
          <w:lang w:val="ru-RU"/>
        </w:rPr>
        <w:t>;</w:t>
      </w:r>
    </w:p>
    <w:p>
      <w:pPr>
        <w:pStyle w:val="Normal.0"/>
        <w:spacing w:after="12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отсутствие зависимости –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0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баллов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Normal.0"/>
        <w:spacing w:after="120"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Методические указания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группа студентов разбивается на подгруппы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(2-5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человек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 выбирает конкретную организацию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Каждый студент выступает в роли эксперта и выставляет свои балльные оценки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Ранжирование факторов позволит сделать выводы и обратить внимание на наиболее важные факторы внешней среды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Таблица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4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– Степень влияния факторов внешней среды на функционирование организации</w:t>
      </w: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i w:val="1"/>
          <w:iCs w:val="1"/>
          <w:sz w:val="24"/>
          <w:szCs w:val="24"/>
        </w:rPr>
      </w:pPr>
    </w:p>
    <w:tbl>
      <w:tblPr>
        <w:tblW w:w="10033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405"/>
        <w:gridCol w:w="548"/>
        <w:gridCol w:w="547"/>
        <w:gridCol w:w="548"/>
        <w:gridCol w:w="548"/>
        <w:gridCol w:w="548"/>
        <w:gridCol w:w="934"/>
        <w:gridCol w:w="1637"/>
        <w:gridCol w:w="1403"/>
        <w:gridCol w:w="915"/>
      </w:tblGrid>
      <w:tr>
        <w:tblPrEx>
          <w:shd w:val="clear" w:color="auto" w:fill="d0ddef"/>
        </w:tblPrEx>
        <w:trPr>
          <w:trHeight w:val="600" w:hRule="atLeast"/>
        </w:trPr>
        <w:tc>
          <w:tcPr>
            <w:tcW w:type="dxa" w:w="2405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120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Внешние факторы</w:t>
            </w:r>
          </w:p>
        </w:tc>
        <w:tc>
          <w:tcPr>
            <w:tcW w:type="dxa" w:w="2739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Экспертные оценки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баллы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934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Итого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баллов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1636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Коэффициент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значимости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к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1403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Расчетная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величина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с×к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915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12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Ранг</w:t>
            </w:r>
          </w:p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2405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12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12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2</w:t>
            </w:r>
          </w:p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12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3</w:t>
            </w:r>
          </w:p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12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4</w:t>
            </w:r>
          </w:p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12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5</w:t>
            </w:r>
          </w:p>
        </w:tc>
        <w:tc>
          <w:tcPr>
            <w:tcW w:type="dxa" w:w="934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636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403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915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d0ddef"/>
        </w:tblPrEx>
        <w:trPr>
          <w:trHeight w:val="3600" w:hRule="atLeast"/>
        </w:trPr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1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Политические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: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правительственная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стабильность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международная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обстановка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государственное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регулирование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межнациональные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конфликты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деятельность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общественных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организаций</w:t>
            </w:r>
          </w:p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120" w:line="240" w:lineRule="auto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Всего</w:t>
            </w:r>
          </w:p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12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Σ к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=1</w:t>
            </w:r>
          </w:p>
        </w:tc>
        <w:tc>
          <w:tcPr>
            <w:tcW w:type="dxa" w:w="14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900" w:hRule="atLeast"/>
        </w:trPr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2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Правовые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: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-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антимонопольное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законодательство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ограничения на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экспортно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-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импортные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операции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природоохранное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законодательство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налоговое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законодательство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нормативные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документы отрасли</w:t>
            </w:r>
          </w:p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120" w:line="240" w:lineRule="auto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Всего</w:t>
            </w:r>
          </w:p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12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Σ к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=1</w:t>
            </w:r>
          </w:p>
        </w:tc>
        <w:tc>
          <w:tcPr>
            <w:tcW w:type="dxa" w:w="14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300" w:hRule="atLeast"/>
        </w:trPr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3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Экономические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: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курс национальной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валюты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уровень инфляции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платежеспособность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населения и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предприятий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доступность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банковских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кредитов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конкуренция</w:t>
            </w:r>
          </w:p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120" w:line="240" w:lineRule="auto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Всего</w:t>
            </w:r>
          </w:p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12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Σ к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=1</w:t>
            </w:r>
          </w:p>
        </w:tc>
        <w:tc>
          <w:tcPr>
            <w:tcW w:type="dxa" w:w="14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4200" w:hRule="atLeast"/>
        </w:trPr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4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Научно–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технические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: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достижения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мировой науки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уровень развития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новых технологий и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оборудования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уровень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компьютеризации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господдержка в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области НТП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защита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интеллектуальной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собственности</w:t>
            </w:r>
          </w:p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120" w:line="240" w:lineRule="auto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Всего</w:t>
            </w:r>
          </w:p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12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Σ к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=1</w:t>
            </w:r>
          </w:p>
        </w:tc>
        <w:tc>
          <w:tcPr>
            <w:tcW w:type="dxa" w:w="14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600" w:hRule="atLeast"/>
        </w:trPr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5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Социокультурные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: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демографическая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ситуация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стиль жизни и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привычки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уровень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образования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населения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уровень общей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культуры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миграция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населения</w:t>
            </w:r>
          </w:p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120" w:line="240" w:lineRule="auto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Всего</w:t>
            </w:r>
          </w:p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12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Σ к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=1</w:t>
            </w:r>
          </w:p>
        </w:tc>
        <w:tc>
          <w:tcPr>
            <w:tcW w:type="dxa" w:w="14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4800" w:hRule="atLeast"/>
        </w:trPr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6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Природно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-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климатические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: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обеспеченность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природными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ресурсами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географическое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положение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климатические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условия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требования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экологической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безопасности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наличие крупных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месторождений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полезных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ископаемых</w:t>
            </w:r>
          </w:p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120" w:line="240" w:lineRule="auto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Всего</w:t>
            </w:r>
          </w:p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12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Σ к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=1</w:t>
            </w:r>
          </w:p>
        </w:tc>
        <w:tc>
          <w:tcPr>
            <w:tcW w:type="dxa" w:w="14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after="0" w:line="240" w:lineRule="auto"/>
        <w:rPr>
          <w:rFonts w:ascii="Times New Roman" w:cs="Times New Roman" w:hAnsi="Times New Roman" w:eastAsia="Times New Roman"/>
          <w:i w:val="1"/>
          <w:iCs w:val="1"/>
          <w:sz w:val="24"/>
          <w:szCs w:val="24"/>
        </w:rPr>
      </w:pPr>
    </w:p>
    <w:p>
      <w:pPr>
        <w:pStyle w:val="Normal.0"/>
        <w:spacing w:after="12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12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Задание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4. </w:t>
      </w:r>
    </w:p>
    <w:p>
      <w:pPr>
        <w:pStyle w:val="Normal.0"/>
        <w:spacing w:after="120"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Оценить влияние факторов внутренней среды на функционирование и развитие организации </w:t>
      </w:r>
      <w:r>
        <w:rPr>
          <w:rFonts w:ascii="Times New Roman" w:hAnsi="Times New Roman"/>
          <w:sz w:val="24"/>
          <w:szCs w:val="24"/>
          <w:rtl w:val="0"/>
          <w:lang w:val="ru-RU"/>
        </w:rPr>
        <w:t>(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заполнить таблицу </w:t>
      </w:r>
      <w:r>
        <w:rPr>
          <w:rFonts w:ascii="Times New Roman" w:hAnsi="Times New Roman"/>
          <w:sz w:val="24"/>
          <w:szCs w:val="24"/>
          <w:rtl w:val="0"/>
          <w:lang w:val="ru-RU"/>
        </w:rPr>
        <w:t>5).</w:t>
      </w:r>
    </w:p>
    <w:p>
      <w:pPr>
        <w:pStyle w:val="Normal.0"/>
        <w:spacing w:after="12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Для оценки использовать пятибалльную шкалу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Normal.0"/>
        <w:spacing w:after="12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существенное влияние –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5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баллов</w:t>
      </w:r>
      <w:r>
        <w:rPr>
          <w:rFonts w:ascii="Times New Roman" w:hAnsi="Times New Roman"/>
          <w:sz w:val="24"/>
          <w:szCs w:val="24"/>
          <w:rtl w:val="0"/>
          <w:lang w:val="ru-RU"/>
        </w:rPr>
        <w:t>;</w:t>
      </w:r>
    </w:p>
    <w:p>
      <w:pPr>
        <w:pStyle w:val="Normal.0"/>
        <w:spacing w:after="12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сильное влияние –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4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балла</w:t>
      </w:r>
      <w:r>
        <w:rPr>
          <w:rFonts w:ascii="Times New Roman" w:hAnsi="Times New Roman"/>
          <w:sz w:val="24"/>
          <w:szCs w:val="24"/>
          <w:rtl w:val="0"/>
          <w:lang w:val="ru-RU"/>
        </w:rPr>
        <w:t>;</w:t>
      </w:r>
    </w:p>
    <w:p>
      <w:pPr>
        <w:pStyle w:val="Normal.0"/>
        <w:spacing w:after="12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среднее влияние –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балла</w:t>
      </w:r>
      <w:r>
        <w:rPr>
          <w:rFonts w:ascii="Times New Roman" w:hAnsi="Times New Roman"/>
          <w:sz w:val="24"/>
          <w:szCs w:val="24"/>
          <w:rtl w:val="0"/>
          <w:lang w:val="ru-RU"/>
        </w:rPr>
        <w:t>;</w:t>
      </w:r>
    </w:p>
    <w:p>
      <w:pPr>
        <w:pStyle w:val="Normal.0"/>
        <w:spacing w:after="12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слабое влияние –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балл</w:t>
      </w:r>
      <w:r>
        <w:rPr>
          <w:rFonts w:ascii="Times New Roman" w:hAnsi="Times New Roman"/>
          <w:sz w:val="24"/>
          <w:szCs w:val="24"/>
          <w:rtl w:val="0"/>
          <w:lang w:val="ru-RU"/>
        </w:rPr>
        <w:t>;</w:t>
      </w:r>
    </w:p>
    <w:p>
      <w:pPr>
        <w:pStyle w:val="Normal.0"/>
        <w:spacing w:after="12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отсутствие влияния –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0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баллов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Normal.0"/>
        <w:spacing w:after="120"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Методические указания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группа студентов разбивается на подгруппы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(3-5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человек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 выбирает конкретную организацию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Каждый студент выступает в роли эксперта и выставляет свои балльные оценки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Ранжирование факторов позволит сделать выводы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Каждая группа представляет свой план решения выявленных проблем во внутренней среде организации</w:t>
      </w:r>
    </w:p>
    <w:p>
      <w:pPr>
        <w:pStyle w:val="Normal.0"/>
        <w:spacing w:after="120"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Таблица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5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‒ Степень влияния факторов внутренней среды на функционирование и развитие организации</w:t>
      </w:r>
    </w:p>
    <w:tbl>
      <w:tblPr>
        <w:tblW w:w="10033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405"/>
        <w:gridCol w:w="548"/>
        <w:gridCol w:w="547"/>
        <w:gridCol w:w="548"/>
        <w:gridCol w:w="548"/>
        <w:gridCol w:w="548"/>
        <w:gridCol w:w="934"/>
        <w:gridCol w:w="1637"/>
        <w:gridCol w:w="1403"/>
        <w:gridCol w:w="915"/>
      </w:tblGrid>
      <w:tr>
        <w:tblPrEx>
          <w:shd w:val="clear" w:color="auto" w:fill="d0ddef"/>
        </w:tblPrEx>
        <w:trPr>
          <w:trHeight w:val="600" w:hRule="atLeast"/>
        </w:trPr>
        <w:tc>
          <w:tcPr>
            <w:tcW w:type="dxa" w:w="2405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120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Внешние факторы</w:t>
            </w:r>
          </w:p>
        </w:tc>
        <w:tc>
          <w:tcPr>
            <w:tcW w:type="dxa" w:w="2739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Экспертные оценки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баллы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934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Итого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баллов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1636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Коэффициент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значимости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к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1403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Расчетная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величина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с×к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915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12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Ранг</w:t>
            </w:r>
          </w:p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2405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12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12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2</w:t>
            </w:r>
          </w:p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12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3</w:t>
            </w:r>
          </w:p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12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4</w:t>
            </w:r>
          </w:p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12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5</w:t>
            </w:r>
          </w:p>
        </w:tc>
        <w:tc>
          <w:tcPr>
            <w:tcW w:type="dxa" w:w="934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636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403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915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d0ddef"/>
        </w:tblPrEx>
        <w:trPr>
          <w:trHeight w:val="5400" w:hRule="atLeast"/>
        </w:trPr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1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Организационная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структура управления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: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соответствие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рыночным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требованиям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распределение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функций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прав и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ответственности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затраты на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управленческий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аппарат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процесс принятия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управленческих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решений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система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документооборота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система контроля</w:t>
            </w:r>
          </w:p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120" w:line="240" w:lineRule="auto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Всего</w:t>
            </w:r>
          </w:p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12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Σ к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=1</w:t>
            </w:r>
          </w:p>
        </w:tc>
        <w:tc>
          <w:tcPr>
            <w:tcW w:type="dxa" w:w="14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900" w:hRule="atLeast"/>
        </w:trPr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2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Персонал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: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уровень образования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и квалификации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компетентность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руководства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система повышения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квалификации и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обучения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система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стимулирования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карьерный рост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текучесть кадров</w:t>
            </w:r>
          </w:p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120" w:line="240" w:lineRule="auto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Всего</w:t>
            </w:r>
          </w:p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12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Σ к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=1</w:t>
            </w:r>
          </w:p>
        </w:tc>
        <w:tc>
          <w:tcPr>
            <w:tcW w:type="dxa" w:w="14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5100" w:hRule="atLeast"/>
        </w:trPr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3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Техническая база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: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состояние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оборудования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наличие средств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механизации и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автоматизации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современные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технологии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оснащенность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вспомогательного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производства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оснащенность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обслуживающего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хозяйства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уровень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компьютеризации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производства</w:t>
            </w:r>
          </w:p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120" w:line="240" w:lineRule="auto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Всего</w:t>
            </w:r>
          </w:p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12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Σ к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=1</w:t>
            </w:r>
          </w:p>
        </w:tc>
        <w:tc>
          <w:tcPr>
            <w:tcW w:type="dxa" w:w="14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2100" w:hRule="atLeast"/>
        </w:trPr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4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Ресурсы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: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финансовые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информационные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материальные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энергетические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трудовые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топливные</w:t>
            </w:r>
          </w:p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120" w:line="240" w:lineRule="auto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Всего</w:t>
            </w:r>
          </w:p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12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Σ к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=1</w:t>
            </w:r>
          </w:p>
        </w:tc>
        <w:tc>
          <w:tcPr>
            <w:tcW w:type="dxa" w:w="14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300" w:hRule="atLeast"/>
        </w:trPr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5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Методы управления и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стили руководства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: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организационно –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распорядительные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экономические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социально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-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психологические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авторитарный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демократический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либеральный</w:t>
            </w:r>
          </w:p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120" w:line="240" w:lineRule="auto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Всего</w:t>
            </w:r>
          </w:p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12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Σ к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=1</w:t>
            </w:r>
          </w:p>
        </w:tc>
        <w:tc>
          <w:tcPr>
            <w:tcW w:type="dxa" w:w="14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4200" w:hRule="atLeast"/>
        </w:trPr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6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Организационная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культура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: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символика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форма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одежды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формы проведения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собраний и заседаний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социально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-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психологический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климат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традиции и обычаи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условия труда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;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организация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свободного времени</w:t>
            </w:r>
          </w:p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120" w:line="240" w:lineRule="auto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Всего</w:t>
            </w:r>
          </w:p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12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Σ к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=1</w:t>
            </w:r>
          </w:p>
        </w:tc>
        <w:tc>
          <w:tcPr>
            <w:tcW w:type="dxa" w:w="14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after="120"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12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12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Задание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5. </w:t>
      </w:r>
    </w:p>
    <w:p>
      <w:pPr>
        <w:pStyle w:val="Normal.0"/>
        <w:spacing w:after="12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Используя метод построения профиля среды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оценить значимость для организации отдельных факторов</w:t>
      </w: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Методические указания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 таблицу профиля среды вписываются отдельные факторы среды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Каждому из факторов экспертным образом дается оценка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А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важности для отрасли по шкале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: 3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‒ большая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2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‒ умеренная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1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– слабая</w:t>
      </w:r>
      <w:r>
        <w:rPr>
          <w:rFonts w:ascii="Times New Roman" w:hAnsi="Times New Roman"/>
          <w:sz w:val="24"/>
          <w:szCs w:val="24"/>
          <w:rtl w:val="0"/>
          <w:lang w:val="ru-RU"/>
        </w:rPr>
        <w:t>;</w:t>
      </w: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В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влияния на организацию по шкале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: 3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– сильное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2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‒ умеренное</w:t>
      </w:r>
      <w:r>
        <w:rPr>
          <w:rFonts w:ascii="Times New Roman" w:hAnsi="Times New Roman"/>
          <w:sz w:val="24"/>
          <w:szCs w:val="24"/>
          <w:rtl w:val="0"/>
          <w:lang w:val="ru-RU"/>
        </w:rPr>
        <w:t>, 1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‒ слабое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0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‒ отсутствие влияния</w:t>
      </w:r>
      <w:r>
        <w:rPr>
          <w:rFonts w:ascii="Times New Roman" w:hAnsi="Times New Roman"/>
          <w:sz w:val="24"/>
          <w:szCs w:val="24"/>
          <w:rtl w:val="0"/>
          <w:lang w:val="ru-RU"/>
        </w:rPr>
        <w:t>;</w:t>
      </w: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С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направленности влияния по шкале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: +1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– позитивная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-1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– негативная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Normal.0"/>
        <w:spacing w:after="0"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Далее все три экспертные оценки перемножаются и получается интегральная оценка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показывающая степень важности фактора для организации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 этой оценке руководство может заключить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какие факторы среды имеют более важное значение для их организации 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следовательно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заслуживают самого серьезного внимания при разработке стратегии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а какие требуют меньшего внимания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Normal.0"/>
        <w:spacing w:after="0"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Таблица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6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‒ Профили непосредственного и макроокружения</w:t>
      </w:r>
    </w:p>
    <w:p>
      <w:pPr>
        <w:pStyle w:val="Normal.0"/>
        <w:spacing w:after="0"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tbl>
      <w:tblPr>
        <w:tblW w:w="991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4671"/>
        <w:gridCol w:w="1134"/>
        <w:gridCol w:w="1133"/>
        <w:gridCol w:w="1134"/>
        <w:gridCol w:w="1843"/>
      </w:tblGrid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6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Фактор среды</w:t>
            </w:r>
          </w:p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А</w:t>
            </w:r>
          </w:p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В</w:t>
            </w:r>
          </w:p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</w:t>
            </w:r>
          </w:p>
        </w:tc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D= A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×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B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×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C</w:t>
            </w:r>
          </w:p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9915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Макроокружение</w:t>
            </w:r>
          </w:p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6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both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Высокие темпы инфляции</w:t>
            </w:r>
          </w:p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6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both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Дефицит государственного бюджета</w:t>
            </w:r>
          </w:p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600" w:hRule="atLeast"/>
        </w:trPr>
        <w:tc>
          <w:tcPr>
            <w:tcW w:type="dxa" w:w="46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both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Изменение структуры государственных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расходов</w:t>
            </w:r>
          </w:p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6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both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Спад производства</w:t>
            </w:r>
          </w:p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6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both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Рост безработицы</w:t>
            </w:r>
          </w:p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6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both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Высокие налоговые ставки</w:t>
            </w:r>
          </w:p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600" w:hRule="atLeast"/>
        </w:trPr>
        <w:tc>
          <w:tcPr>
            <w:tcW w:type="dxa" w:w="46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both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Принятие нормативных актов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имеющих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обратную силу</w:t>
            </w:r>
          </w:p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600" w:hRule="atLeast"/>
        </w:trPr>
        <w:tc>
          <w:tcPr>
            <w:tcW w:type="dxa" w:w="46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both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Ориентация на рыночное регулирование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экономики</w:t>
            </w:r>
          </w:p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6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both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Снижение стабильности в обществе</w:t>
            </w:r>
          </w:p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900" w:hRule="atLeast"/>
        </w:trPr>
        <w:tc>
          <w:tcPr>
            <w:tcW w:type="dxa" w:w="46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both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Проявление в органах государственной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власти давления разных политических групп</w:t>
            </w:r>
          </w:p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600" w:hRule="atLeast"/>
        </w:trPr>
        <w:tc>
          <w:tcPr>
            <w:tcW w:type="dxa" w:w="46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both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Свобода внешнеэкономических связей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ВЭС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6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both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Рост мобильности населения</w:t>
            </w:r>
          </w:p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6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both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Снижение уровня образования</w:t>
            </w:r>
          </w:p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6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both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Научно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технический прогресс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НТП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9915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Непосредственное окружение</w:t>
            </w:r>
          </w:p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6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both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Рост потребности в получении жилья</w:t>
            </w:r>
          </w:p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600" w:hRule="atLeast"/>
        </w:trPr>
        <w:tc>
          <w:tcPr>
            <w:tcW w:type="dxa" w:w="46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both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Снижение платежеспособного спроса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населения</w:t>
            </w:r>
          </w:p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6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both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Неплатежи со стороны заказчиков</w:t>
            </w:r>
          </w:p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6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both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Удорожание энергоносителей и материалов</w:t>
            </w:r>
          </w:p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6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both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Несильное конкурентное давление</w:t>
            </w:r>
          </w:p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46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both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Высокие процентные ставки за кредит</w:t>
            </w:r>
          </w:p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600" w:hRule="atLeast"/>
        </w:trPr>
        <w:tc>
          <w:tcPr>
            <w:tcW w:type="dxa" w:w="46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both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Заинтересованность зарубежных партнеров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в сотрудничестве</w:t>
            </w:r>
          </w:p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after="0" w:line="240" w:lineRule="auto"/>
        <w:jc w:val="both"/>
      </w:pP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4"/>
      <w:footerReference w:type="default" r:id="rId5"/>
      <w:pgSz w:w="11900" w:h="16840" w:orient="portrait"/>
      <w:pgMar w:top="1134" w:right="851" w:bottom="1134" w:left="1134" w:header="709" w:footer="70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right"/>
    </w:pPr>
    <w:r>
      <w:rPr>
        <w:rFonts w:ascii="Times New Roman" w:hAnsi="Times New Roman"/>
        <w:sz w:val="20"/>
        <w:szCs w:val="20"/>
        <w:rtl w:val="0"/>
      </w:rPr>
      <w:fldChar w:fldCharType="begin" w:fldLock="0"/>
    </w:r>
    <w:r>
      <w:rPr>
        <w:rFonts w:ascii="Times New Roman" w:hAnsi="Times New Roman"/>
        <w:sz w:val="20"/>
        <w:szCs w:val="20"/>
        <w:rtl w:val="0"/>
      </w:rPr>
      <w:instrText xml:space="preserve"> PAGE </w:instrText>
    </w:r>
    <w:r>
      <w:rPr>
        <w:rFonts w:ascii="Times New Roman" w:hAnsi="Times New Roman"/>
        <w:sz w:val="20"/>
        <w:szCs w:val="20"/>
        <w:rtl w:val="0"/>
      </w:rPr>
      <w:fldChar w:fldCharType="separate" w:fldLock="0"/>
    </w:r>
    <w:r>
      <w:rPr>
        <w:rFonts w:ascii="Times New Roman" w:hAnsi="Times New Roman"/>
        <w:sz w:val="20"/>
        <w:szCs w:val="20"/>
        <w:rtl w:val="0"/>
      </w:rPr>
    </w:r>
    <w:r>
      <w:rPr>
        <w:rFonts w:ascii="Times New Roman" w:hAnsi="Times New Roman"/>
        <w:sz w:val="20"/>
        <w:szCs w:val="20"/>
        <w:rtl w:val="0"/>
      </w:rPr>
      <w:fldChar w:fldCharType="end" w:fldLock="0"/>
    </w:r>
    <w:r>
      <w:rPr>
        <w:rFonts w:ascii="Times New Roman" w:hAnsi="Times New Roman"/>
        <w:sz w:val="20"/>
        <w:szCs w:val="20"/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)"/>
      <w:lvlJc w:val="left"/>
      <w:pPr>
        <w:ind w:left="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1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2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3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4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5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6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7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8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decimal"/>
      <w:suff w:val="tab"/>
      <w:lvlText w:val="%1)"/>
      <w:lvlJc w:val="left"/>
      <w:pPr>
        <w:ind w:left="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1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2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3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4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5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6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7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8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decimal"/>
      <w:suff w:val="tab"/>
      <w:lvlText w:val="%1)"/>
      <w:lvlJc w:val="left"/>
      <w:pPr>
        <w:ind w:left="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1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2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3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4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5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6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7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8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lvl w:ilvl="0">
      <w:start w:val="1"/>
      <w:numFmt w:val="decimal"/>
      <w:suff w:val="tab"/>
      <w:lvlText w:val="%1)"/>
      <w:lvlJc w:val="left"/>
      <w:pPr>
        <w:ind w:left="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1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2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3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4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5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6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7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8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lvl w:ilvl="0">
      <w:start w:val="1"/>
      <w:numFmt w:val="decimal"/>
      <w:suff w:val="tab"/>
      <w:lvlText w:val="%1)"/>
      <w:lvlJc w:val="left"/>
      <w:pPr>
        <w:ind w:left="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1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2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3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4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5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6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7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8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multiLevelType w:val="hybridMultilevel"/>
    <w:lvl w:ilvl="0">
      <w:start w:val="1"/>
      <w:numFmt w:val="decimal"/>
      <w:suff w:val="tab"/>
      <w:lvlText w:val="%1)"/>
      <w:lvlJc w:val="left"/>
      <w:pPr>
        <w:ind w:left="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1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2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3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4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5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6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7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8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lvl w:ilvl="0">
      <w:start w:val="1"/>
      <w:numFmt w:val="decimal"/>
      <w:suff w:val="tab"/>
      <w:lvlText w:val="%1)"/>
      <w:lvlJc w:val="left"/>
      <w:pPr>
        <w:ind w:left="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1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2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3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4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5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6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7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8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>
    <w:multiLevelType w:val="hybridMultilevel"/>
    <w:lvl w:ilvl="0">
      <w:start w:val="1"/>
      <w:numFmt w:val="decimal"/>
      <w:suff w:val="tab"/>
      <w:lvlText w:val="%1)"/>
      <w:lvlJc w:val="left"/>
      <w:pPr>
        <w:ind w:left="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1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2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3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4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5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6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7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8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lvl w:ilvl="0">
      <w:start w:val="1"/>
      <w:numFmt w:val="decimal"/>
      <w:suff w:val="tab"/>
      <w:lvlText w:val="%1)"/>
      <w:lvlJc w:val="left"/>
      <w:pPr>
        <w:ind w:left="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1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2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3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4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5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6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7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8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>
    <w:multiLevelType w:val="hybridMultilevel"/>
    <w:lvl w:ilvl="0">
      <w:start w:val="1"/>
      <w:numFmt w:val="decimal"/>
      <w:suff w:val="tab"/>
      <w:lvlText w:val="%1)"/>
      <w:lvlJc w:val="left"/>
      <w:pPr>
        <w:ind w:left="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1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2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3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4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5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6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7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8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lvl w:ilvl="0">
      <w:start w:val="1"/>
      <w:numFmt w:val="decimal"/>
      <w:suff w:val="tab"/>
      <w:lvlText w:val="%1)"/>
      <w:lvlJc w:val="left"/>
      <w:pPr>
        <w:ind w:left="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1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2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3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4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5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6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7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8316" w:hanging="316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