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8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ТЕХНИКО-ЭКОНОМИЧЕСКОЕ ОБОСНОВАНИЕ ЭФФЕКТИВНОСТИ РАЗРАБОТКИ И РЕАЛИЗАЦИИ ПРОГРАММНОГО СРЕДСТВА ОТСЛЕЖИВАНИЯ ЗАДАЧ</w:t>
      </w:r>
    </w:p>
    <w:p>
      <w:pPr>
        <w:pStyle w:val="Normal"/>
        <w:ind w:left="62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737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Характеристика программного продукта</w:t>
      </w:r>
    </w:p>
    <w:p>
      <w:pPr>
        <w:pStyle w:val="Normal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75_829816425"/>
      <w:r>
        <w:rPr>
          <w:rFonts w:ascii="Times New Roman" w:hAnsi="Times New Roman"/>
          <w:b w:val="false"/>
          <w:bCs w:val="false"/>
          <w:sz w:val="28"/>
          <w:szCs w:val="28"/>
        </w:rPr>
        <w:t>Программное средство управления задачами бло разработано ИТ-компанией «НетКрэкерБел», которая является резидентом ПВТ. Программное средство предоставляет следующие возможности: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и управление проектом,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и управление задачами,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отсылка уведомлений,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проектных групп,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управление правами пользователей.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Данный функционал позволяет существенно ускорить разработку различных проектов, а так же сократить ресурсы персонала, отвечающего за процесс разработки проекта.</w:t>
      </w:r>
    </w:p>
    <w:p>
      <w:pPr>
        <w:pStyle w:val="TextBody"/>
        <w:bidi w:val="0"/>
        <w:spacing w:lineRule="auto" w:line="288" w:before="0" w:after="0"/>
        <w:ind w:left="0" w:right="0" w:firstLine="68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Экономическая целесообразость инвестиций в разработку и использование программного средства осуществляется на основе расчёта и оценки следующих экономических показателей: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сметы затрат,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прибыли организации-разработчика,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– 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уровня рентабельности.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7.2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Расчет сметы затрат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Основная заработная плата исполнителей проекта рассчитывается по формуле (7.1):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Сама формула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88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 xml:space="preserve">где 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ч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 xml:space="preserve">– часовая ставка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i-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го исполнителя, руб,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Ф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vertAlign w:val="subscript"/>
        </w:rPr>
        <w:t>э𝑖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 xml:space="preserve"> – эффективный фонд рабочего времени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i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-го исполнителя,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Т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vertAlign w:val="subscript"/>
        </w:rPr>
        <w:t>ч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 xml:space="preserve"> – количество часов работы в день, 8 часов,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n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 xml:space="preserve"> – количество исполнителей, занятых разработкой конкретного ПС,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  <w:t>K – коэфицент премирования (1,2).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i w:val="false"/>
          <w:i w:val="false"/>
          <w:iCs w:val="false"/>
          <w:position w:val="0"/>
          <w:sz w:val="28"/>
          <w:sz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vertAlign w:val="baseline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i w:val="false"/>
          <w:i w:val="false"/>
          <w:iCs w:val="false"/>
          <w:position w:val="0"/>
          <w:sz w:val="28"/>
          <w:sz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vertAlign w:val="baseline"/>
        </w:rPr>
      </w:r>
    </w:p>
    <w:p>
      <w:pPr>
        <w:pStyle w:val="TableCaption"/>
        <w:keepNext/>
        <w:widowControl w:val="false"/>
        <w:bidi w:val="0"/>
        <w:spacing w:before="0" w:after="0"/>
        <w:ind w:left="0" w:right="0" w:hanging="0"/>
        <w:jc w:val="both"/>
        <w:rPr/>
      </w:pPr>
      <w:r>
        <w:rPr/>
        <w:t xml:space="preserve">Таблица </w:t>
      </w:r>
      <w:r>
        <w:fldChar w:fldCharType="begin"/>
      </w:r>
      <w:r>
        <w:instrText>STYLEREF 1 \s</w:instrText>
      </w:r>
      <w:r>
        <w:fldChar w:fldCharType="separate"/>
      </w:r>
      <w:bookmarkStart w:id="1" w:name="__Fieldmark__148_829816425"/>
      <w:r>
        <w:rPr/>
      </w:r>
      <w:r>
        <w:rPr>
          <w:b/>
          <w:bCs/>
        </w:rPr>
        <w:t>7.</w:t>
      </w:r>
      <w:r>
        <w:rPr/>
      </w:r>
      <w:r>
        <w:fldChar w:fldCharType="end"/>
      </w:r>
      <w:bookmarkEnd w:id="1"/>
      <w:r>
        <w:rPr/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Расчёт основной заработной платы разработчиков ПС</w:t>
      </w:r>
    </w:p>
    <w:tbl>
      <w:tblPr>
        <w:tblStyle w:val="TableGrid"/>
        <w:tblW w:w="92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7"/>
        <w:gridCol w:w="567"/>
        <w:gridCol w:w="1"/>
        <w:gridCol w:w="634"/>
        <w:gridCol w:w="879"/>
        <w:gridCol w:w="1208"/>
        <w:gridCol w:w="1209"/>
        <w:gridCol w:w="1209"/>
        <w:gridCol w:w="1239"/>
      </w:tblGrid>
      <w:tr>
        <w:trPr>
          <w:trHeight w:val="2070" w:hRule="exact"/>
          <w:cantSplit w:val="true"/>
        </w:trPr>
        <w:tc>
          <w:tcPr>
            <w:tcW w:w="226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Исполнитель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Кол-во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Разряд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Тарифный коэффициент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Месячная тарифная ставка, руб.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Часовая тарифная ставка, руб.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Плановый фонд рабочего времени, дн.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/>
            </w:pPr>
            <w:r>
              <w:rPr/>
              <w:t>Заработная плата, руб.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Руководитель проекта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19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4,56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912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5,43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150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6514,29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Программист</w:t>
              <w:br/>
            </w:r>
            <w:r>
              <w:rPr>
                <w:lang w:val="en-US"/>
              </w:rPr>
              <w:t xml:space="preserve">I </w:t>
            </w:r>
            <w:r>
              <w:rPr/>
              <w:t>категории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3</w:t>
            </w:r>
            <w:r>
              <w:rPr/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585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3,</w:t>
            </w:r>
            <w:r>
              <w:rPr>
                <w:lang w:val="en-US"/>
              </w:rPr>
              <w:t>48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150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4178,57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Программист</w:t>
              <w:br/>
            </w:r>
            <w:r>
              <w:rPr>
                <w:lang w:val="en-US"/>
              </w:rPr>
              <w:t xml:space="preserve">II </w:t>
            </w:r>
            <w:r>
              <w:rPr/>
              <w:t>категории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11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2</w:t>
            </w:r>
            <w:r>
              <w:rPr/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371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2,21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150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2650,00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Бизнес-аналитик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3</w:t>
            </w:r>
            <w:r>
              <w:rPr/>
              <w:t>,</w:t>
            </w:r>
            <w:r>
              <w:rPr>
                <w:lang w:val="en-US"/>
              </w:rPr>
              <w:t>48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61,2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3,94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100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3148,57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Тестировщик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</w:t>
            </w:r>
          </w:p>
        </w:tc>
        <w:tc>
          <w:tcPr>
            <w:tcW w:w="6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2</w:t>
            </w:r>
            <w:r>
              <w:rPr/>
              <w:t>,</w:t>
            </w:r>
            <w:r>
              <w:rPr>
                <w:lang w:val="en-US"/>
              </w:rPr>
              <w:t>48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248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1,48</w:t>
            </w:r>
          </w:p>
        </w:tc>
        <w:tc>
          <w:tcPr>
            <w:tcW w:w="1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lang w:val="en-US"/>
              </w:rPr>
              <w:t>120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  <w:t>1417,14</w:t>
            </w:r>
          </w:p>
        </w:tc>
      </w:tr>
      <w:tr>
        <w:trPr/>
        <w:tc>
          <w:tcPr>
            <w:tcW w:w="2835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Итого</w:t>
            </w:r>
          </w:p>
        </w:tc>
        <w:tc>
          <w:tcPr>
            <w:tcW w:w="6378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17908,57</w:t>
            </w:r>
          </w:p>
        </w:tc>
      </w:tr>
      <w:tr>
        <w:trPr/>
        <w:tc>
          <w:tcPr>
            <w:tcW w:w="2835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Основная заработная плата (премия 20%)</w:t>
            </w:r>
          </w:p>
        </w:tc>
        <w:tc>
          <w:tcPr>
            <w:tcW w:w="6378" w:type="dxa"/>
            <w:gridSpan w:val="6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"/>
              <w:widowControl w:val="false"/>
              <w:tabs>
                <w:tab w:val="left" w:pos="567" w:leader="none"/>
                <w:tab w:val="left" w:pos="6900" w:leader="none"/>
              </w:tabs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23281,14</w:t>
            </w:r>
          </w:p>
        </w:tc>
      </w:tr>
    </w:tbl>
    <w:p>
      <w:pPr>
        <w:pStyle w:val="Text"/>
        <w:widowControl/>
        <w:bidi w:val="0"/>
        <w:spacing w:lineRule="auto" w:line="288" w:before="0" w:after="0"/>
        <w:ind w:left="0" w:right="0" w:firstLine="737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Дополнительная заработная плата на конкретное ПС (ЗДi) включает выплаты, предусмотренные законодательством о труде и определяется по формуле (7.2):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Формула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 xml:space="preserve">Зо – затраты на основную заработную плату исполнителей с учётом </w:t>
        <w:tab/>
        <w:t>премии, руб.,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Нд – эффективный фонд рабочего времени i-го исполнителя, дней,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Тч – норматив дополнительной заработной платы, 10%.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д𝑖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23281,14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∙0.1=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2328,114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Отчисления в фонд социальной защиты населения и на обязательное страхование (З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сз𝑖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 определяются в соответствии с действующими законодательными актами по формуле (7.3):</w:t>
      </w:r>
    </w:p>
    <w:p>
      <w:pPr>
        <w:pStyle w:val="TextBody"/>
        <w:widowControl/>
        <w:bidi w:val="0"/>
        <w:spacing w:lineRule="auto" w:line="288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</w:p>
    <w:p>
      <w:pPr>
        <w:pStyle w:val="Normal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7.3</w:t>
      </w:r>
    </w:p>
    <w:p>
      <w:pPr>
        <w:pStyle w:val="Normal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 xml:space="preserve">Нсз – норматив отчислений в фонд социальной защиты населения, </w:t>
        <w:tab/>
        <w:t>(34+0,6) %.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сз𝑖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=(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114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)∙0,346=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8860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Normal"/>
        <w:ind w:left="0" w:right="0" w:firstLine="737"/>
        <w:jc w:val="both"/>
        <w:rPr/>
      </w:pPr>
      <w:r>
        <w:rPr/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Расходы по статье «Машинное время» (РМi) включают оплату машинного времени, необходимого для разработки и отладки ПС, и определяется по формуле (7.4):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7.4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>Цм – цена одного машино-часа,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Тч – количество часов работы в день, 8 часов,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Ср – длительность проекта.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Стоимость машино-часа на предприятии составляет 1,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р. (для 7 машин). Разработка проекта занимает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дней. Используя формулу (7.4), определим затраты по статье «Машинное время»: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сз𝑖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=1,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∙8∙1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1344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Расходы по статье «Прочие затраты» (Пз𝑖) на ПС включают затраты на приобретение и подготовку специальной научно-технической информации и специальной литературы и определяются по формуле (7.5):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7.5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>Нпз – норматив прочих затрат в целом по организации, 5%.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Подставив значения в формулу (7.5), получим: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з𝑖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∙0,05=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1164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Затраты по статье «Накладные расходы» (Р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Нi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н𝑖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определяются по формуле (7.6):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7.6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 xml:space="preserve">рн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– норматив накладных расходов в целом по организации, 100%.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н𝑖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∙1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Общая сумма расходов по всем статьям сметы (СРi) на ПС рассчитывается по формуле (7.7):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 xml:space="preserve">Ср=Зо+Зд+Зсз+Рм+Пз+Рн, </w:t>
        <w:tab/>
        <w:tab/>
        <w:tab/>
        <w:t xml:space="preserve">       (7.7)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Подставив данные в формулу (7.7), получим: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Ср=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2328,114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8860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1344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1164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23281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14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60259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TextBody"/>
        <w:widowControl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Кроме того, организация-разработчик осуществляет затраты на сопровождение и адаптацию ПС (Р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са𝑖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которые определяются по нормативу (Нрса) и рассчитываются по формуле (7.8):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7/8</w:t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– смета расходов в целом по организации без расходов на сопровождение и адаптацию, руб.,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рса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– норматив на сопровождение и адаптацию, 5%.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са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60259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∙0,05=3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96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руб.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Общая сумма расходов на разработку (с затратами на сопровождение и адаптацию) как полная себестоимость ПС (Сп) определяется по формуле (7.9):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7/9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60259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25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+ 3012,96 = 63272,21 руб.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Прибыль ПС рассчитывается по формуле (7.10):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7/10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</w:t>
        <w:tab/>
        <w:t>Ппс𝑖 – прибыль от реализации ПС заказчику, руб.,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Урп𝑖 – уровень рентабельности ПС, 25%,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Сп𝑖 – себестоимость ПС, руб.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пс𝑖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63272,21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∙0,25=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15818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5 руб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связи с тем, что компания-исполнитель является резидентом ПВТ и по текущему законодательству РБ такие предприятия освобождаются от налога на прибыль и налога на добавленную стоимость, то прогнозируемая отпускная цена ПС будет определяться по следующей формуле (7.11):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7/11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Подставив значения в формулу (7.11), получаем прогнозируемую отпускную цену программного продукта: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Ц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 xml:space="preserve">п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 63272,21 + 15818,05 = 79090,26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Установленная в переговорах с заказчиком договорная цена является коммерческой тайной.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7.3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Расчет экономического эффекта </w:t>
      </w:r>
      <w:r>
        <w:rPr>
          <w:rFonts w:ascii="Times New Roman" w:hAnsi="Times New Roman"/>
          <w:sz w:val="28"/>
          <w:szCs w:val="28"/>
        </w:rPr>
        <w:t>у разработчика программного средства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Экономический эффект для разработчика программного обеспечения заключается в получении прибыли от его продажи множеству потребителей. Прибыль от реализации напрямую зависит от объемов продаж, цены реализации и затрат на разработку данного программного средства. 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/>
      </w:pPr>
      <w:r>
        <w:rPr>
          <w:rFonts w:ascii="Times New Roman" w:hAnsi="Times New Roman"/>
          <w:sz w:val="28"/>
          <w:szCs w:val="28"/>
        </w:rPr>
        <w:t>Расчет цены на одну копию(лицензию)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рентабельности(У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/>
      </w:pPr>
      <w:r>
        <w:rPr>
          <w:rFonts w:ascii="Times New Roman" w:hAnsi="Times New Roman"/>
          <w:sz w:val="28"/>
          <w:szCs w:val="28"/>
        </w:rPr>
        <w:t>7/12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>где</w:t>
        <w:tab/>
        <w:t xml:space="preserve">Ц – цена реализации одной копии (лицензии) ПО, руб.; 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З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 xml:space="preserve"> – сумма расходов на разработку и реализацию, руб.; 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 – количество копий (лицензий) ПО, которое будет куплено клиентами за год; N = 5 . В период с 2017 г. по 2020 г. планируется продать по 5 лицензий в год.</w:t>
      </w:r>
    </w:p>
    <w:p>
      <w:pPr>
        <w:pStyle w:val="TextBody"/>
        <w:widowControl/>
        <w:bidi w:val="0"/>
        <w:spacing w:lineRule="auto" w:line="240" w:before="0" w:after="0"/>
        <w:ind w:left="0" w:right="0" w:firstLine="68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sectPr>
      <w:type w:val="nextPage"/>
      <w:pgSz w:w="12240" w:h="15840"/>
      <w:pgMar w:left="1545" w:right="113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ext">
    <w:name w:val="Text"/>
    <w:basedOn w:val="ListParagraph"/>
    <w:qFormat/>
    <w:pPr>
      <w:ind w:left="0" w:firstLine="709"/>
      <w:jc w:val="both"/>
    </w:pPr>
    <w:rPr>
      <w:rFonts w:cs="Times New Roman"/>
      <w:szCs w:val="28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ableCaption">
    <w:name w:val="Table Caption"/>
    <w:basedOn w:val="Caption1"/>
    <w:qFormat/>
    <w:pPr>
      <w:keepNext/>
      <w:spacing w:before="0" w:after="0"/>
    </w:pPr>
    <w:rPr>
      <w:i w:val="false"/>
      <w:color w:val="00000A"/>
      <w:sz w:val="28"/>
      <w:szCs w:val="2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LibreOffice/5.2.6.2$Linux_X86_64 LibreOffice_project/20m0$Build-2</Application>
  <Pages>5</Pages>
  <Words>772</Words>
  <Characters>5158</Characters>
  <CharactersWithSpaces>5864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2017-05-08T22:25:45Z</dcterms:created>
  <dc:creator/>
  <dc:description/>
  <dc:language>ru-RU</dc:language>
  <cp:lastModifiedBy/>
  <dcterms:modified xsi:type="dcterms:W3CDTF">2017-05-09T13:32:55Z</dcterms:modified>
  <cp:revision>11</cp:revision>
  <dc:subject/>
  <dc:title/>
</cp:coreProperties>
</file>