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61f38afea17bc68d65570c6a3c3e299969040c5b.png" ContentType="image/png"/>
  <Override PartName="/word/media/836f05cf717bb56abae86d049241b4747fa44894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Статистический отчет</w:t>
      </w:r>
    </w:p>
    <w:p>
      <w:pPr>
        <w:pStyle w:val="Subtitle"/>
      </w:pPr>
      <w:r>
        <w:t xml:space="preserve">Проспективное, многоцентровое, рандомизированное, тройное слепое, клиническое исследование с активным контролем в параллельных группах по сравнительной оценке эффективности и безопасности препарата Траумель, гель для местного применения, по сравнению с гелем диклофенака 1% при лечении боли у пациентов с остеоартрозом коленных суставов</w:t>
      </w:r>
    </w:p>
    <w:p>
      <w:pPr>
        <w:pStyle w:val="Author"/>
      </w:pPr>
      <w:r>
        <w:t xml:space="preserve">Нуриева Ильнара, Левченко Диана, Царегородцев Сергей, Ризатдинова София, Станин Владислав</w:t>
      </w:r>
    </w:p>
    <w:bookmarkStart w:id="30" w:name="характеристики-пациентов"/>
    <w:p>
      <w:pPr>
        <w:pStyle w:val="Heading1"/>
      </w:pPr>
      <w:r>
        <w:t xml:space="preserve">Характеристики пациентов</w:t>
      </w:r>
    </w:p>
    <w:bookmarkStart w:id="28" w:name="X7f41702ddd864625834d7e96c574228e4152e36"/>
    <w:p>
      <w:pPr>
        <w:pStyle w:val="Heading2"/>
      </w:pPr>
      <w:r>
        <w:t xml:space="preserve">Критерии формирования популяции исследования</w:t>
      </w:r>
    </w:p>
    <w:bookmarkStart w:id="25" w:name="первоначальные-критерии-включения"/>
    <w:p>
      <w:pPr>
        <w:pStyle w:val="Heading3"/>
      </w:pPr>
      <w:r>
        <w:t xml:space="preserve">Первоначальные критерии включения:</w:t>
      </w:r>
    </w:p>
    <w:p>
      <w:pPr>
        <w:pStyle w:val="Compact"/>
        <w:numPr>
          <w:ilvl w:val="0"/>
          <w:numId w:val="1001"/>
        </w:numPr>
      </w:pPr>
      <w:r>
        <w:t xml:space="preserve">Индекс массы тела (ИМТ) &lt; 38 кг/м²;</w:t>
      </w:r>
    </w:p>
    <w:p>
      <w:pPr>
        <w:pStyle w:val="Compact"/>
        <w:numPr>
          <w:ilvl w:val="0"/>
          <w:numId w:val="1001"/>
        </w:numPr>
      </w:pPr>
      <w:r>
        <w:t xml:space="preserve">Возраст от 40 до 80 лет включительно;</w:t>
      </w:r>
    </w:p>
    <w:p>
      <w:pPr>
        <w:pStyle w:val="Compact"/>
        <w:numPr>
          <w:ilvl w:val="0"/>
          <w:numId w:val="1001"/>
        </w:numPr>
      </w:pPr>
      <w:r>
        <w:t xml:space="preserve">Аксиллярная температура тела &lt; 37,5 °С на Визите 1;</w:t>
      </w:r>
    </w:p>
    <w:p>
      <w:pPr>
        <w:pStyle w:val="Compact"/>
        <w:numPr>
          <w:ilvl w:val="0"/>
          <w:numId w:val="1001"/>
        </w:numPr>
      </w:pPr>
      <w:r>
        <w:t xml:space="preserve">Интенсивность боли в целевом коленном суставе после ходьбы на 20 м в диапазоне от 40 до 80 мм по визуально-аналоговой шкале (ВАШ, 0–100 мм);</w:t>
      </w:r>
    </w:p>
    <w:p>
      <w:pPr>
        <w:pStyle w:val="Compact"/>
        <w:numPr>
          <w:ilvl w:val="0"/>
          <w:numId w:val="1001"/>
        </w:numPr>
      </w:pPr>
      <w:r>
        <w:t xml:space="preserve">Прирост интенсивности боли после ходьбы на 20 м более чем на 20 мм по шкале ВАШ.</w:t>
      </w:r>
    </w:p>
    <w:bookmarkEnd w:id="25"/>
    <w:bookmarkStart w:id="26" w:name="корректировка-критериев-в-ходе-анализа"/>
    <w:p>
      <w:pPr>
        <w:pStyle w:val="Heading3"/>
      </w:pPr>
      <w:r>
        <w:t xml:space="preserve">Корректировка критериев в ходе анализа</w:t>
      </w:r>
    </w:p>
    <w:p>
      <w:pPr>
        <w:pStyle w:val="FirstParagraph"/>
      </w:pPr>
      <w:r>
        <w:t xml:space="preserve">На этапе статистической обработки данных ряд критериев был смягчен:</w:t>
      </w:r>
    </w:p>
    <w:p>
      <w:pPr>
        <w:pStyle w:val="Compact"/>
        <w:numPr>
          <w:ilvl w:val="0"/>
          <w:numId w:val="1002"/>
        </w:numPr>
      </w:pPr>
      <w:r>
        <w:t xml:space="preserve">Температура тела: Требование к температуре тела на Визите 1 было исключено, так как первичные данные предоставлялись исследователями в формате «отклонение от нормы», что сделало невозможным верификацию точных значений.</w:t>
      </w:r>
    </w:p>
    <w:p>
      <w:pPr>
        <w:pStyle w:val="Compact"/>
        <w:numPr>
          <w:ilvl w:val="0"/>
          <w:numId w:val="1002"/>
        </w:numPr>
      </w:pPr>
      <w:r>
        <w:t xml:space="preserve">Динамика боли: Порог прироста интенсивности боли после физической нагрузки (ходьба 20 м) был снижен с «более 20 мм» до «более 0 мм».</w:t>
      </w:r>
    </w:p>
    <w:p>
      <w:pPr>
        <w:pStyle w:val="Compact"/>
        <w:numPr>
          <w:ilvl w:val="0"/>
          <w:numId w:val="1002"/>
        </w:numPr>
      </w:pPr>
      <w:r>
        <w:t xml:space="preserve">Сопутствующая патология: Критерии, касающиеся сопутствующих заболеваний и состояний, не учитывались в анализе в связи с отсутствием соответствующих данных в первичной документации.</w:t>
      </w:r>
    </w:p>
    <w:bookmarkEnd w:id="26"/>
    <w:bookmarkStart w:id="27" w:name="X09f415b1d3e68dd38b2696702168f05f43fa37d"/>
    <w:p>
      <w:pPr>
        <w:pStyle w:val="Heading3"/>
      </w:pPr>
      <w:r>
        <w:t xml:space="preserve">Причины исключения пациентов из исследования</w:t>
      </w:r>
    </w:p>
    <w:p>
      <w:pPr>
        <w:pStyle w:val="FirstParagraph"/>
      </w:pPr>
      <w:r>
        <w:t xml:space="preserve">Из исследования были исключены 10 пациентов вследствие несоответствия следующим критериям включения/невключения:</w:t>
      </w:r>
    </w:p>
    <w:p>
      <w:pPr>
        <w:pStyle w:val="Compact"/>
        <w:numPr>
          <w:ilvl w:val="0"/>
          <w:numId w:val="1003"/>
        </w:numPr>
      </w:pPr>
      <w:r>
        <w:t xml:space="preserve">Несоответствие антропометрическим и демографическим показателям;</w:t>
      </w:r>
    </w:p>
    <w:p>
      <w:pPr>
        <w:pStyle w:val="Compact"/>
        <w:numPr>
          <w:ilvl w:val="0"/>
          <w:numId w:val="1003"/>
        </w:numPr>
      </w:pPr>
      <w:r>
        <w:t xml:space="preserve">Несоответствие оценки по визуально-аналоговой шкале (ВАШ) после теста ходьбы на 20 м;</w:t>
      </w:r>
    </w:p>
    <w:p>
      <w:pPr>
        <w:pStyle w:val="Compact"/>
        <w:numPr>
          <w:ilvl w:val="0"/>
          <w:numId w:val="1003"/>
        </w:numPr>
      </w:pPr>
      <w:r>
        <w:t xml:space="preserve">Несоответствие критерию улучшения оценки интенсивности боли по ВАШ после теста ходьбы на 20 м.</w:t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bookmarkEnd w:id="27"/>
    <w:bookmarkEnd w:id="28"/>
    <w:bookmarkStart w:id="29" w:name="демография"/>
    <w:p>
      <w:pPr>
        <w:pStyle w:val="Heading2"/>
      </w:pPr>
      <w:r>
        <w:t xml:space="preserve">Демография</w:t>
      </w:r>
    </w:p>
    <w:p>
      <w:pPr>
        <w:pStyle w:val="FirstParagraph"/>
      </w:pPr>
      <w:r>
        <w:t xml:space="preserve">Описательные статистики для демографических и антропометрических характеристик представлены в Таблице 1.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1. Демографические и антропометрические характеристики (популяция всех включенных пациентов)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3265"/>
        <w:gridCol w:w="2453"/>
        <w:gridCol w:w="2453"/>
        <w:gridCol w:w="2453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Показатели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48</w:t>
            </w:r>
          </w:p>
        </w:tc>
      </w:tr>
      <w:tr>
        <w:trPr>
          <w:trHeight w:val="572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Пол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Женский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(73%)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Мужской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(27%)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Возраст, лет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58.48 (7.10)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58.04 (7.28)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58.25 (7.12)</w:t>
            </w:r>
          </w:p>
        </w:tc>
      </w:tr>
      <w:tr>
        <w:trPr>
          <w:trHeight w:val="61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58.00 (54; 63.00)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60.00 (53; 63.00)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59.00 (54; 63.00)</w:t>
            </w:r>
          </w:p>
        </w:tc>
      </w:tr>
      <w:tr>
        <w:trPr>
          <w:trHeight w:val="61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45.00–72.00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45.00–70.00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45.00–72.00</w:t>
            </w:r>
          </w:p>
        </w:tc>
      </w:tr>
      <w:tr>
        <w:trPr>
          <w:trHeight w:val="60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Рост, см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169.53 (7.65)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170.26 (6.91)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169.91 (7.21)</w:t>
            </w:r>
          </w:p>
        </w:tc>
      </w:tr>
      <w:tr>
        <w:trPr>
          <w:trHeight w:val="61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170.40 (163; 174.20)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168.80 (165; 174.80)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169.60 (164; 174.50)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157.00–185.10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157.10–184.10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157.00–185.10</w:t>
            </w:r>
          </w:p>
        </w:tc>
      </w:tr>
      <w:tr>
        <w:trPr>
          <w:trHeight w:val="60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Масса тела, кг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81.10 (13.95)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80.65 (14.42)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80.87 (14.05)</w:t>
            </w:r>
          </w:p>
        </w:tc>
      </w:tr>
      <w:tr>
        <w:trPr>
          <w:trHeight w:val="61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80.90 (68; 95.70)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81.80 (66; 93.20)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81.35 (67; 93.40)</w:t>
            </w:r>
          </w:p>
        </w:tc>
      </w:tr>
      <w:tr>
        <w:trPr>
          <w:trHeight w:val="615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62.60–111.20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57.00–105.10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57.00–111.20</w:t>
            </w:r>
          </w:p>
        </w:tc>
      </w:tr>
      <w:tr>
        <w:trPr>
          <w:trHeight w:val="611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ИМТ, кг/м^2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28.33 (5.15)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27.87 (4.88)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28.09 (4.96)</w:t>
            </w:r>
          </w:p>
        </w:tc>
      </w:tr>
      <w:tr>
        <w:trPr>
          <w:trHeight w:val="61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27.60 (24; 32.00)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28.10 (24; 31.00)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27.90 (24; 31.50)</w:t>
            </w:r>
          </w:p>
        </w:tc>
      </w:tr>
      <w:tr>
        <w:trPr>
          <w:trHeight w:val="615" w:hRule="auto"/>
        </w:trPr>
        body23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19.80–38.00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18.20–36.40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18.20–38.00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Сокращения: СО — стандартное отклонение; Q1/Q3 - 1 и 3 квартили.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Проценты рассчитаны от числа пациентов в соответствующей группе.</w:t>
            </w:r>
          </w:p>
        </w:tc>
      </w:tr>
    </w:tbl>
    <w:p>
      <w:pPr>
        <w:pStyle w:val="BodyText"/>
      </w:pPr>
      <w:r>
        <w:t xml:space="preserve">Распределение пациентов по полу, возрасту и индексу массы тела было сопоставимым в обеих группах. Женщины преобладали в обеих группах (Траумель — 70%, диклофенак — 76%; всего 35/48, или 73%). Мужчины составляли меньшую долю (24–30%): в группе Траумель — 7/23 (30%), в группе диклофенака — 6/25 (24%); всего 13/48, или 27%.</w:t>
      </w:r>
    </w:p>
    <w:bookmarkEnd w:id="29"/>
    <w:bookmarkEnd w:id="30"/>
    <w:bookmarkStart w:id="33" w:name="анализ-эффективности"/>
    <w:p>
      <w:pPr>
        <w:pStyle w:val="Heading1"/>
      </w:pPr>
      <w:r>
        <w:t xml:space="preserve">Анализ эффективности</w:t>
      </w:r>
    </w:p>
    <w:bookmarkStart w:id="31" w:name="интенсивность-боли-по-ваш-в-покое"/>
    <w:p>
      <w:pPr>
        <w:pStyle w:val="Heading2"/>
      </w:pPr>
      <w:r>
        <w:t xml:space="preserve">Интенсивность боли по ВАШ (в покое)</w:t>
      </w:r>
    </w:p>
    <w:p>
      <w:pPr>
        <w:pStyle w:val="FirstParagraph"/>
      </w:pPr>
      <w:r>
        <w:t xml:space="preserve">Описательная статистика результатов оценки интенсивности боли по визуально-аналоговой шкале (ВАШ) в состоянии покоя представлена в Таблице 2.</w:t>
      </w:r>
    </w:p>
    <w:p>
      <w:pPr>
        <w:pStyle w:val="BodyText"/>
      </w:pPr>
      <w:r>
        <w:t xml:space="preserve">Средние значения интенсивности боли для каждой из исследуемых групп на визитах 1, 2 и 3 визуализированы на Рисунке 1.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2. Оценка интенсивности боли по ВАШ (в покое), по визитам (популяция всех включенных пациентов)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77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Статистика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25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48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Наблюдаемое значение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от исходного уровня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Наблюдаемое значение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от исходного уровня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Наблюдаемое значение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от исходного уровня</w:t>
            </w:r>
          </w:p>
        </w:tc>
      </w:tr>
      <w:tr>
        <w:trPr>
          <w:trHeight w:val="77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(исходный уровень)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52.17 (9.00)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54.72 (8.60)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53.50 (8.80)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51.00 (45.00; 59.00)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56.00 (49.00; 61.00)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54.00 (46.00; 60.25)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5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40.00 - 69.00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40.00 - 71.00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40.00 - 71.00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47.22 (9.38)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 (3.24)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43.92 (9.88)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 (4.22)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45.50 (9.68)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(4.77)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46.00 (42.00; 53.50)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(3.50; 7.00)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 (36.00; 50.00)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 (7.00; 14.00)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46.00 (37.50; 53.00)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(5.00; 11.00)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29.00 - 64.00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-1.00 - 11.00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24.00 - 61.00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4.00 - 18.00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24.00 - 64.00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-1.00 - 18.00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42.39 (10.65)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9.78 (3.99)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36.36 (9.05)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 (2.89)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39.25 (10.21)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14.25 (5.52)</w:t>
            </w:r>
          </w:p>
        </w:tc>
      </w:tr>
      <w:tr>
        <w:trPr>
          <w:trHeight w:val="61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43.00 (35.50; 52.00)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 (7.50; 11.00)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35.00 (32.00; 43.00)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18.00 (17.00; 20.00)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(32.00; 46.00)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15.00 (10.00; 18.25)</w:t>
            </w:r>
          </w:p>
        </w:tc>
      </w:tr>
      <w:tr>
        <w:trPr>
          <w:trHeight w:val="615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21.00 - 58.00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1.00 - 19.00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19.00 - 53.00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13.00 - 25.00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19.00 - 58.00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1.00 - 25.00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Сокращения: СО — стандартное отклонение; Q1/Q3 — 1 и 3 квартили.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Примечание. Изменение от исходного уровня рассчитано как разность между оценкой на Визите 1 и оценкой на соответствующем визите.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BodyText"/>
      </w:pPr>
      <w:r>
        <w:t xml:space="preserve"> </w:t>
      </w:r>
      <w:r>
        <w:t xml:space="preserve">Рисунок 1. Средние значения интенсивности боли (по ВАШ) в исследуемых группах в динамике.</w:t>
      </w:r>
      <w:r>
        <w:t xml:space="preserve"> </w:t>
      </w:r>
    </w:p>
    <w:p>
      <w:pPr>
        <w:jc w:val="center"/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В качестве первичной конечной точки</w:t>
      </w:r>
      <w:r>
        <w:t xml:space="preserve"> </w:t>
      </w:r>
      <w:r>
        <w:t xml:space="preserve">выступало снижение интенсивности боли в коленном суставе в покое по 100 мм ВАШ (визуально-аналоговой шкале) на День 30 (Визит 3) по сравнению с исходным уровнем (Визит 1). Полученные разницы были протестированы между двумя группами (Траумель, Диклофенак) с помощью одностороннего t-критерия Стьюдента на уровне значимости 𝛼 = 0,025.</w:t>
      </w:r>
    </w:p>
    <w:p>
      <w:pPr>
        <w:pStyle w:val="BodyText"/>
      </w:pPr>
      <w:r>
        <w:t xml:space="preserve">Статистическая гипотеза не меньшей эффективности в исследовании была сформулирована следующим образом:</w:t>
      </w:r>
    </w:p>
    <w:p>
      <w:pPr>
        <w:pStyle w:val="BodyText"/>
      </w:pPr>
      <w:r>
        <w:t xml:space="preserve">H0: μT - μR ≤ δ;</w:t>
      </w:r>
      <w:r>
        <w:t xml:space="preserve"> </w:t>
      </w:r>
      <w:r>
        <w:t xml:space="preserve">HA: μT - μR &gt; δ</w:t>
      </w:r>
    </w:p>
    <w:p>
      <w:pPr>
        <w:pStyle w:val="BodyText"/>
      </w:pPr>
      <w:r>
        <w:t xml:space="preserve">Где μT – среднее значение интенсивности боли по шкале ВАШ (мм) в группе, получающей лечение препаратом Траумель. μR – среднее значение интенсивности боли по шкале ВАШ (мм) в группе, получающей лечение препаратом Диклофенак. δ – граница не меньшей эффективности (-6,5 мм).</w:t>
      </w:r>
    </w:p>
    <w:p>
      <w:pPr>
        <w:pStyle w:val="BodyText"/>
      </w:pPr>
      <w:r>
        <w:rPr>
          <w:i/>
          <w:iCs/>
        </w:rPr>
        <w:t xml:space="preserve">В качестве исходных параметров было взято следующее</w:t>
      </w:r>
      <w:r>
        <w:t xml:space="preserve">: априорное предположение о равной эффективности сравниваемых препаратов (ε = 0); граница не меньшей эффективности, установленная как половина минимального клинически значимого изменения по ВАШ, равная -6,5 мм; стандартное отклонение для снижения по шкале ВАШ σ = 8,35; вероятность ошибки I рода – 0,025; мощность – 80%.</w:t>
      </w:r>
    </w:p>
    <w:p>
      <w:pPr>
        <w:pStyle w:val="BodyText"/>
      </w:pPr>
      <w:r>
        <w:t xml:space="preserve">Разница показателей средней оценки интенсивности боли в коленном суставе в покое по 100 мм ВАШ между Визитами 1 и 3 в группе, принимающей препарат Траумель, составляет 9,78, в группе, принимающей препарат Диклофенак, – 18,36. Разница средних изменений интенсивности боли между визитами в группах составила -8,6. 97,5% доверительный интервал (-10,6 - Inf) включает границу не меньшей эффективности -6,5 мм; P-значение больше заданного уровня (0,977). Следовательно нулевая гипотеза не может быть отвергнута, отличие статистически незначимо.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Вторичной конечной точкой</w:t>
      </w:r>
      <w:r>
        <w:t xml:space="preserve"> </w:t>
      </w:r>
      <w:r>
        <w:t xml:space="preserve">было снижение интенсивности боли в коленном суставе в покое по шкале ВАШ (0–100 мм) на 14-й день (Визит 2) по сравнению с исходным уровнем (Визит 1). Результаты анализа данной конечной точки представлены в таблице 3.</w:t>
      </w:r>
    </w:p>
    <w:p>
      <w:pPr>
        <w:pStyle w:val="BodyText"/>
      </w:pPr>
      <w:r>
        <w:t xml:space="preserve">Различия показателей средней оценки интенсивности боли в коленном суставе в покое между Визитами 1 и 2 составили для группы, применявшей препарат «Траумель»: 4,96 мм, для группы, применявшей . препарат диклофенак 10,80 мм. Разница средних изменений интенсивности боли между группами составила -5,8 мм, 97,5% доверительный интервал (-8,0; Inf) включает границу не меньшей эффективности (-6,5 мм}). P-значение (0,273) превышает заданный уровень значимости, что свидетельствует о статистически незначимом различии между группами.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3. Первичная конечная точка, Вторичная конечная точка 1 (популяция всех включенных пациентов)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90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интенсивности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боли по ВАШ (мм),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 покое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Оценка разницы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средних (97.5% ДИ)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Между Визитами 1 и 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 (-8.0 - Inf)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Между Визитами 1 и 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 (-10.6 - Inf)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Примечание. Для сравнения разницы средних с порогом неменьшей эффективности (-6,5 мм) был использован односторонний t-критерий Стьюдента.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bookmarkEnd w:id="31"/>
    <w:bookmarkStart w:id="32" w:name="интенсивность-боли-по-ваш-после-нагрузки"/>
    <w:p>
      <w:pPr>
        <w:pStyle w:val="Heading2"/>
      </w:pPr>
      <w:r>
        <w:t xml:space="preserve">Интенсивность боли по ВАШ (после нагрузки)</w:t>
      </w:r>
    </w:p>
    <w:p>
      <w:pPr>
        <w:pStyle w:val="FirstParagraph"/>
      </w:pPr>
      <w:r>
        <w:t xml:space="preserve"> </w:t>
      </w:r>
      <w:r>
        <w:t xml:space="preserve">Описательная статистика результатов оценки интенсивности боли по ВАШ после нагрузки в исследуемых группах представлена в Таблице 4.</w:t>
      </w:r>
    </w:p>
    <w:p>
      <w:pPr>
        <w:pStyle w:val="BodyText"/>
      </w:pPr>
      <w:r>
        <w:t xml:space="preserve">Средние значения интенсивности боли для каждой из групп на визитах 1, 2 и 3 визуализированы на Рисунке 2.</w:t>
      </w:r>
    </w:p>
    <w:p>
      <w:pPr>
        <w:pStyle w:val="BodyText"/>
      </w:pP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4. Оценка интенсивности боли по ВАШ (после нагрузки), по визитам (популяция всех включенных пациентов)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77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Статистика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25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48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Наблюдаемое значение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от исходного уровня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Наблюдаемое значение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от исходного уровня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Наблюдаемое значение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от исходного уровня</w:t>
            </w:r>
          </w:p>
        </w:tc>
      </w:tr>
      <w:tr>
        <w:trPr>
          <w:trHeight w:val="77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(исходный уровень)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60.30 (9.99)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61.64 (9.50)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61.00 (9.66)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62.00 (56.00; 65.00)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63.00 (55.00; 68.00)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62.00 (55.00; 66.25)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5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43.00 - 78.00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44.00 - 79.00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43.00 - 79.00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57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53.87 (10.20)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 (5.68)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50.12 (9.14)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11.52 (5.22)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51.92 (9.74)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9.08 (5.97)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56.00 (45.00; 60.00)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(2.00; 10.50)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51.00 (46.00; 56.00)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 (8.00; 15.00)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51.50 (45.75; 60.00)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 (4.00; 14.25)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37.00 - 70.00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-4.00 - 16.00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31.00 - 63.00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2.00 - 21.00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31.00 - 70.00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-4.00 - 21.00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50.65 (10.15)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9.65 (5.20)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42.28 (11.75)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19.36 (5.18)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46.29 (11.69)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 (7.10)</w:t>
            </w:r>
          </w:p>
        </w:tc>
      </w:tr>
      <w:tr>
        <w:trPr>
          <w:trHeight w:val="61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51.00 (44.50; 53.50)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 (5.00; 13.00)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 (32.00; 50.00)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20.00 (16.00; 23.00)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47.00 (38.50; 52.50)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15.50 (9.50; 20.00)</w:t>
            </w:r>
          </w:p>
        </w:tc>
      </w:tr>
      <w:tr>
        <w:trPr>
          <w:trHeight w:val="615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30.00 - 71.00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0.00 - 20.00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19.00 - 61.00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6.00 - 31.00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19.00 - 71.00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0.00 - 31.00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Сокращения: СО — стандартное отклонение; Q1/Q3 — 1 и 3 квартили.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Примечание. Изменение от исходного уровня рассчитано как разность между оценкой на Визите 1 и оценкой на соответствующем визите.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BodyText"/>
      </w:pPr>
      <w:r>
        <w:t xml:space="preserve"> </w:t>
      </w:r>
      <w:r>
        <w:t xml:space="preserve">Рисунок 2. График, отображающий динамику средних значений интенсивности боли по ВАШ в рассматриваемых группах после нагрузки.</w:t>
      </w:r>
      <w:r>
        <w:t xml:space="preserve"> </w:t>
      </w:r>
    </w:p>
    <w:p>
      <w:pPr>
        <w:jc w:val="center"/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качестве следующей</w:t>
      </w:r>
      <w:r>
        <w:t xml:space="preserve"> </w:t>
      </w:r>
      <w:r>
        <w:rPr>
          <w:b/>
          <w:bCs/>
        </w:rPr>
        <w:t xml:space="preserve">вторичной конечной точки</w:t>
      </w:r>
      <w:r>
        <w:t xml:space="preserve"> </w:t>
      </w:r>
      <w:r>
        <w:t xml:space="preserve">рассматривалось снижение оценки пациентом боли в коленном суставе по ВАШ после ходьбы 20 метров на 14-й и 30-й день (Визиты 2 и 3) по сравнению с исходным значением (Визит 1). Результаты анализа данной конечной точки представлены в таблице 5.</w:t>
      </w:r>
    </w:p>
    <w:p>
      <w:pPr>
        <w:pStyle w:val="BodyText"/>
      </w:pPr>
      <w:r>
        <w:t xml:space="preserve">Разница показателей средней оценки интенсивности боли в коленном суставе в покое между Визитами 1 и 3 составила 9,65 мм в группе, применявшей препарат «Траумель», и 19,36 мм в группе, применявшей препарат «Диклофенак».</w:t>
      </w:r>
    </w:p>
    <w:p>
      <w:pPr>
        <w:pStyle w:val="BodyText"/>
      </w:pPr>
      <w:r>
        <w:t xml:space="preserve">Разница средних изменений интенсивности боли между визитами в группах составила -9,7 мм. При этом 97,5% доверительный интервал (-12,7; Inf) включает границу не меньшей эффективности, установленную на уровне -6,5 мм. P-значение (0,981) оказалось больше заданного уровня значимости. Следовательно, нулевая гипотеза не может быть отвергнута, и отличие статистически незначимо.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5. Вторичная конечная точка 3 (популяция всех включенных пациентов)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94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Изменение интенсивности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боли по ВАШ (мм),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после нагрузки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Оценка разницы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средних (97.5% ДИ)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Между Визитами 1 и 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 (-8.3 - Inf)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Между Визитами 1 и 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 (-12.7 - Inf)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Примечание. Для сравнения разницы средних с порогом неменьшей эффективности (-6,5 мм) был использован односторонний t-критерий Стьюдента.</w:t>
            </w:r>
          </w:p>
        </w:tc>
      </w:tr>
    </w:tbl>
    <w:p>
      <w:pPr>
        <w:pStyle w:val="BodyText"/>
      </w:pP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6. Процентное изменение интенсивности боли по ВАШ от исходного уровня (в покое), по визитам (популяция всех включенных пациентов)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Статистика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48</w:t>
            </w:r>
          </w:p>
        </w:tc>
      </w:tr>
      <w:tr>
        <w:trPr>
          <w:trHeight w:val="572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 (7.13)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20.31 (8.93)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15.26 (9.63)</w:t>
            </w:r>
          </w:p>
        </w:tc>
      </w:tr>
      <w:tr>
        <w:trPr>
          <w:trHeight w:val="61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9.80 (5.90; 11.53)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18.03 (14.52; 26.67)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12.85 (8.95; 20.70)</w:t>
            </w:r>
          </w:p>
        </w:tc>
      </w:tr>
      <w:tr>
        <w:trPr>
          <w:trHeight w:val="615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-2.22 - 27.50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6.67 - 40.00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-2.22 - 40.00</w:t>
            </w:r>
          </w:p>
        </w:tc>
      </w:tr>
      <w:tr>
        <w:trPr>
          <w:trHeight w:val="57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Количество наблюдений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1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 (9.97)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34.41 (8.05)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27.35 (11.62)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17.86 (13.54; 25.15)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33.93 (29.03; 38.46)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27.50 (18.35; 35.05)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 – Максимум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1.69 - 47.50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20.90 - 52.50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1.69 - 52.50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Сокращения: СО — стандартное отклонение; Q1/Q3 — 1 и 3 квартили.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Примечание. Процентное изменение от исходного уровня рассчитано по формуле (изменение от исходного уровня * 100%)/исходный уровень. Изменение от исходного уровня рассчитано как разность между оценкой на Визите 1 и оценкой на соответствующем визите.</w:t>
            </w:r>
          </w:p>
        </w:tc>
      </w:tr>
    </w:tbl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7. Вторичная конечная точка 2 (популяция всех включенных пациентов)</w:t>
      </w:r>
    </w:p>
    <w:tbl xmlns:w14="http://schemas.microsoft.com/office/word/2010/wordml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98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Процентное изменение интенсивности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боли по ВАШ (мм),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после нагрузки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Оценка разницы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средних (97.5% ДИ)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изменение от исходного уровня на Визите 2 (в 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-10.5 (-15.2 - Inf)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19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изменение от исходного уровня на Визите 3 (в 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-14.7 (-20.0 - Inf)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Примечание. Статистическая значимость различий в процентном изменении оценивалась с использованием одностороннего t-критерия Стьюдента относительно выбранной границы неменьшей эффективности (–5%).</w:t>
            </w:r>
          </w:p>
        </w:tc>
      </w:tr>
    </w:tbl>
    <w:p>
      <w:pPr>
        <w:pStyle w:val="BodyText"/>
      </w:pPr>
      <w:r>
        <w:t xml:space="preserve">В качестве заключительной вторичной конечной точки было рассмотрено процентное снижение оценки пациентом боли в коленном суставе по ВАШ после нагрузки (ходьба пешком 20 м) на 14-й и 30-й день (Визиты 2 и 3) по сравнению с исходным значением (Визит 1).</w:t>
      </w:r>
    </w:p>
    <w:p>
      <w:pPr>
        <w:pStyle w:val="BodyText"/>
      </w:pPr>
      <w:r>
        <w:t xml:space="preserve">Полученные процентные изменения интенсивности боли после нагрузки были протестированы между двумя группами (Траумель и диклофенак) с помощью одностороннего t-критерия Стьюдента на уровне значимости 0,025 относительно выбранной границы не меньшей эффективности (-5%). Результаты анализа данной конечной точки представлены в таблице 7.</w:t>
      </w:r>
    </w:p>
    <w:p>
      <w:pPr>
        <w:pStyle w:val="BodyText"/>
      </w:pPr>
      <w:r>
        <w:t xml:space="preserve">Среднее изменение в оценке интенсивности боли в коленном суставе по ВАШ после нагрузки от исходного уровня на Визите 2 составило 9,77% в группе, применявшей препарат Траумель, и 20,31% в группе диклофенака.</w:t>
      </w:r>
    </w:p>
    <w:p>
      <w:pPr>
        <w:pStyle w:val="BodyText"/>
      </w:pPr>
      <w:r>
        <w:t xml:space="preserve">Разница средних изменений составила -10,5 процентных пункта. 97,5% доверительный интервал (-15,2%; Inf) включает границу не меньшей эффективности (-5%), p-значение (0,989) больше заданного уровня. Следовательно, нулевая гипотеза не может быть отвергнута, отличие статистически незначимо.</w:t>
      </w:r>
    </w:p>
    <w:p>
      <w:pPr>
        <w:pStyle w:val="BodyText"/>
      </w:pPr>
      <w:r>
        <w:t xml:space="preserve">Среднее изменение в оценке интенсивности боли в коленном суставе по ВАШ после нагрузки от исходного уровня на Визите 3 составило 19,68% в группе Траумель и 34,41% в группе диклофенака.</w:t>
      </w:r>
      <w:r>
        <w:t xml:space="preserve"> </w:t>
      </w:r>
      <w:r>
        <w:t xml:space="preserve">Разница средних изменений составила -14,7 процентных пункта. 97,5% доверительный интервал (-20,0%; Inf) включает границу не меньшей эффективности (-5%), p-значение (1) больше заданного уровня значимости. Следовательно, нулевая гипотеза не может быть отвергнута, отличие статистически незначимо.</w:t>
      </w:r>
    </w:p>
    <w:bookmarkEnd w:id="32"/>
    <w:bookmarkEnd w:id="33"/>
    <w:bookmarkStart w:id="37" w:name="анализ-безопасности"/>
    <w:p>
      <w:pPr>
        <w:pStyle w:val="Heading1"/>
      </w:pPr>
      <w:r>
        <w:t xml:space="preserve">Анализ безопасности</w:t>
      </w:r>
    </w:p>
    <w:bookmarkStart w:id="34" w:name="экг"/>
    <w:p>
      <w:pPr>
        <w:pStyle w:val="Heading2"/>
      </w:pPr>
      <w:r>
        <w:t xml:space="preserve">ЭКГ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8. Показатели ЭКГ пациентов (популяция безопасности)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2706"/>
        <w:gridCol w:w="1476"/>
        <w:gridCol w:w="1816"/>
        <w:gridCol w:w="1944"/>
      </w:tblGrid>
      <w:tr>
        <w:trPr>
          <w:trHeight w:val="77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Категория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</w:p>
        </w:tc>
      </w:tr>
      <w:tr>
        <w:trPr>
          <w:trHeight w:val="616" w:hRule="auto"/>
        </w:trPr>
        body1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QT-аномалия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(93%)</w:t>
            </w:r>
          </w:p>
        </w:tc>
      </w:tr>
      <w:tr>
        <w:trPr>
          <w:trHeight w:val="618" w:hRule="auto"/>
        </w:trPr>
        body2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(7%)</w:t>
            </w:r>
          </w:p>
        </w:tc>
      </w:tr>
      <w:tr>
        <w:trPr>
          <w:trHeight w:val="616" w:hRule="auto"/>
        </w:trPr>
        body3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Нарушение ритма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(90%)</w:t>
            </w:r>
          </w:p>
        </w:tc>
      </w:tr>
      <w:tr>
        <w:trPr>
          <w:trHeight w:val="618" w:hRule="auto"/>
        </w:trPr>
        body4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(10%)</w:t>
            </w:r>
          </w:p>
        </w:tc>
      </w:tr>
      <w:tr>
        <w:trPr>
          <w:trHeight w:val="616" w:hRule="auto"/>
        </w:trPr>
        body5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Изменения ST-T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(86%)</w:t>
            </w:r>
          </w:p>
        </w:tc>
      </w:tr>
      <w:tr>
        <w:trPr>
          <w:trHeight w:val="618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(14%)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Примечание: проценты рассчитаны от числа пациентов в соответствующей группе.</w:t>
            </w:r>
          </w:p>
        </w:tc>
      </w:tr>
    </w:tbl>
    <w:p>
      <w:pPr>
        <w:pStyle w:val="FirstParagraph"/>
      </w:pPr>
      <w:r>
        <w:t xml:space="preserve">Результаты оценки ЭКГ по трём основным параметрам (QT-аномалии, нарушения ритма, изменения ST-T) в группах Траумель и диклофенак представлены в Таблице 8. Частота ЭКГ-отклонений была низкой и сопоставимой в обеих группах. Наиболее распространенной категорией отклонений являлись изменения сегмента ST-T.</w:t>
      </w:r>
    </w:p>
    <w:bookmarkEnd w:id="34"/>
    <w:bookmarkStart w:id="35" w:name="клинический-анализ-крови"/>
    <w:p>
      <w:pPr>
        <w:pStyle w:val="Heading2"/>
      </w:pPr>
      <w:r>
        <w:t xml:space="preserve">Клинический анализ крови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9. Показатели клинического анализа крови пациентов (популяция безопасности)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833"/>
        <w:gridCol w:w="2759"/>
        <w:gridCol w:w="2759"/>
        <w:gridCol w:w="2759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Показатели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58</w:t>
            </w:r>
          </w:p>
        </w:tc>
      </w:tr>
      <w:tr>
        <w:trPr>
          <w:trHeight w:val="61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Гемоглобин, г/л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136.34 (12.13)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137.00 (12.07)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136.67 (12.00)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139.00 (132.00; 141.00)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136.00 (132.00; 145.00)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137.00 (132.00; 142.00)</w:t>
            </w:r>
          </w:p>
        </w:tc>
      </w:tr>
      <w:tr>
        <w:trPr>
          <w:trHeight w:val="61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104.00–162.00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117.00–167.00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104.00–167.00</w:t>
            </w:r>
          </w:p>
        </w:tc>
      </w:tr>
      <w:tr>
        <w:trPr>
          <w:trHeight w:val="61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Лейкоциты, ×10^9/л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 (1.87)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6.38 (1.33)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6.61 (1.62)</w:t>
            </w:r>
          </w:p>
        </w:tc>
      </w:tr>
      <w:tr>
        <w:trPr>
          <w:trHeight w:val="61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 (5.00; 8.10)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 (5.40; 7.40)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 (5.10; 7.70)</w:t>
            </w:r>
          </w:p>
        </w:tc>
      </w:tr>
      <w:tr>
        <w:trPr>
          <w:trHeight w:val="61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3.80–11.00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3.40–9.10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3.40–11.00</w:t>
            </w:r>
          </w:p>
        </w:tc>
      </w:tr>
      <w:tr>
        <w:trPr>
          <w:trHeight w:val="61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Тромбоциты, ×10^9/л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Среднее (СО)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279.86 (61.21)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264.10 (65.36)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271.98 (63.26)</w:t>
            </w:r>
          </w:p>
        </w:tc>
      </w:tr>
      <w:tr>
        <w:trPr>
          <w:trHeight w:val="61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Медиана (Q1; Q3)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273.00 (246.00; 312.00)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262.00 (221.00; 308.00)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266.50 (239.00; 312.00)</w:t>
            </w:r>
          </w:p>
        </w:tc>
      </w:tr>
      <w:tr>
        <w:trPr>
          <w:trHeight w:val="615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Минимум–Максимум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150.00–398.00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126.00–404.00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126.00–404.00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Сокращения: СО — стандартное отклонение; Q1/Q3 — 1 и 3 квартили.</w:t>
            </w:r>
          </w:p>
        </w:tc>
      </w:tr>
    </w:tbl>
    <w:p>
      <w:pPr>
        <w:pStyle w:val="FirstParagraph"/>
      </w:pPr>
      <w:r>
        <w:t xml:space="preserve">В Таблице 8 представлены показатели общего анализа крови на исходном уровне. Показатели в группах Траумеля и диклофенака в целом сопоставимы. Значения гемоглобина и тромбоцитов практически совпадали по средним и медианам, а межквартильные интервалы и диапазоны существенно перекрывались. Для лейкоцитов отмечалась тенденция к несколько более высоким значениям в группе Траумеля (среднее 6,96 (СО 2,05) ×10^9/л против 6,38 (СО 1,36) ×10^9/л в группе диклофенака).</w:t>
      </w:r>
    </w:p>
    <w:p>
      <w:pPr>
        <w:pStyle w:val="BodyText"/>
      </w:pPr>
      <w:r>
        <w:t xml:space="preserve">Таким образом, представленные гематологические параметры не демонстрируют клинически значимой разницы на старте исследования, группы сопоставимы по этим показателям</w:t>
      </w:r>
    </w:p>
    <w:bookmarkEnd w:id="35"/>
    <w:bookmarkStart w:id="36" w:name="жизненно-важные-показатели"/>
    <w:p>
      <w:pPr>
        <w:pStyle w:val="Heading2"/>
      </w:pPr>
      <w:r>
        <w:t xml:space="preserve">Жизненно-важные показатели</w:t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Таблица 10. Жизненно-важные показатели пациентов (популяция безопасности)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218"/>
        <w:gridCol w:w="2706"/>
        <w:gridCol w:w="1476"/>
        <w:gridCol w:w="1816"/>
        <w:gridCol w:w="1944"/>
      </w:tblGrid>
      <w:tr>
        <w:trPr>
          <w:trHeight w:val="77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Категория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Траумель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Диклофенак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Все пациенты</w:t>
            </w:r>
          </w:p>
        </w:tc>
      </w:tr>
      <w:tr>
        <w:trPr>
          <w:trHeight w:val="616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АД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(90%)</w:t>
            </w:r>
          </w:p>
        </w:tc>
      </w:tr>
      <w:tr>
        <w:trPr>
          <w:trHeight w:val="618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(10%)</w:t>
            </w:r>
          </w:p>
        </w:tc>
      </w:tr>
      <w:tr>
        <w:trPr>
          <w:trHeight w:val="616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(97%)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(95%)</w:t>
            </w:r>
          </w:p>
        </w:tc>
      </w:tr>
      <w:tr>
        <w:trPr>
          <w:trHeight w:val="618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(5%)</w:t>
            </w:r>
          </w:p>
        </w:tc>
      </w:tr>
      <w:tr>
        <w:trPr>
          <w:trHeight w:val="616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(90%)</w:t>
            </w:r>
          </w:p>
        </w:tc>
      </w:tr>
      <w:tr>
        <w:trPr>
          <w:trHeight w:val="618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(10%)</w:t>
            </w:r>
          </w:p>
        </w:tc>
      </w:tr>
      <w:tr>
        <w:trPr>
          <w:trHeight w:val="616" w:hRule="auto"/>
        </w:trPr>
        body 7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Температура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(90%)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(88%)</w:t>
            </w:r>
          </w:p>
        </w:tc>
      </w:tr>
      <w:tr>
        <w:trPr>
          <w:trHeight w:val="618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(12%)</w:t>
            </w:r>
          </w:p>
        </w:tc>
      </w:tr>
      <w:tr>
        <w:trPr>
          <w:trHeight w:val="616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(97%)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(91%)</w:t>
            </w:r>
          </w:p>
        </w:tc>
      </w:tr>
      <w:tr>
        <w:trPr>
          <w:trHeight w:val="618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(9%)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(90%)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(79%)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(84%)</w:t>
            </w:r>
          </w:p>
        </w:tc>
      </w:tr>
      <w:tr>
        <w:trPr>
          <w:trHeight w:val="61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(16%)</w:t>
            </w:r>
          </w:p>
        </w:tc>
      </w:tr>
      <w:tr>
        <w:trPr>
          <w:trHeight w:val="616" w:hRule="auto"/>
        </w:trPr>
        body13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ЧДД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(93%)</w:t>
            </w:r>
          </w:p>
        </w:tc>
      </w:tr>
      <w:tr>
        <w:trPr>
          <w:trHeight w:val="618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(7%)</w:t>
            </w:r>
          </w:p>
        </w:tc>
      </w:tr>
      <w:tr>
        <w:trPr>
          <w:trHeight w:val="616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(93%)</w:t>
            </w:r>
          </w:p>
        </w:tc>
      </w:tr>
      <w:tr>
        <w:trPr>
          <w:trHeight w:val="618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(7%)</w:t>
            </w:r>
          </w:p>
        </w:tc>
      </w:tr>
      <w:tr>
        <w:trPr>
          <w:trHeight w:val="616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(93%)</w:t>
            </w:r>
          </w:p>
        </w:tc>
      </w:tr>
      <w:tr>
        <w:trPr>
          <w:trHeight w:val="618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(7%)</w:t>
            </w:r>
          </w:p>
        </w:tc>
      </w:tr>
      <w:tr>
        <w:trPr>
          <w:trHeight w:val="616" w:hRule="auto"/>
        </w:trPr>
        body19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ЧСС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(97%)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(95%)</w:t>
            </w:r>
          </w:p>
        </w:tc>
      </w:tr>
      <w:tr>
        <w:trPr>
          <w:trHeight w:val="618" w:hRule="auto"/>
        </w:trPr>
        body20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(5%)</w:t>
            </w:r>
          </w:p>
        </w:tc>
      </w:tr>
      <w:tr>
        <w:trPr>
          <w:trHeight w:val="616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(86%)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(83%)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(84%)</w:t>
            </w:r>
          </w:p>
        </w:tc>
      </w:tr>
      <w:tr>
        <w:trPr>
          <w:trHeight w:val="618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Отклонение от нормы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(16%)</w:t>
            </w:r>
          </w:p>
        </w:tc>
      </w:tr>
      <w:tr>
        <w:trPr>
          <w:trHeight w:val="616" w:hRule="auto"/>
        </w:trPr>
        body23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Визит 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(100%)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(100%)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(100%)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Сокращения: АД — артериальное давление; ЧДД — частота дыхательных движений; ЧСС — частота сердечных сокращений.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Примечание: проценты рассчитаны от числа пациентов в соответствующей группе.</w:t>
            </w:r>
          </w:p>
        </w:tc>
      </w:tr>
    </w:tbl>
    <w:p>
      <w:pPr>
        <w:pStyle w:val="FirstParagraph"/>
      </w:pPr>
      <w:r>
        <w:t xml:space="preserve">В Таблице 10 представлены результаты оценки показателей жизненно важных функций (АД, температура, ЧДД, ЧСС) на каждом визите в группах Траумеля и Диклофенака. По всем параметрам на каждом визите преобладали значения в пределах нормы, а доля отклонений была низкой.</w:t>
      </w:r>
    </w:p>
    <w:bookmarkEnd w:id="36"/>
    <w:bookmarkEnd w:id="37"/>
    <w:sectPr>
      <w:pgMar w:bottom="1417" w:footer="708" w:gutter="0" w:header="708" w:left="1417" w:right="1417" w:top="1417"/>
      <w:pgSz w:h="16838" w:orient="portrait" w:w="11906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50EAB99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000A991"/>
    <w:multiLevelType w:val="multilevel"/>
    <w:tmpl w:val="0908B27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2">
    <w:nsid w:val="0BC657B3"/>
    <w:multiLevelType w:val="multilevel"/>
    <w:tmpl w:val="040C001D"/>
    <w:numStyleLink w:val="Defaultul"/>
  </w:abstractNum>
  <w:abstractNum w15:restartNumberingAfterBreak="0" w:abstractNumId="13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5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289B7C2A"/>
    <w:multiLevelType w:val="multilevel"/>
    <w:tmpl w:val="4B88F872"/>
    <w:numStyleLink w:val="Defaultol"/>
  </w:abstractNum>
  <w:abstractNum w15:restartNumberingAfterBreak="0" w:abstractNumId="19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5">
    <w:nsid w:val="78191783"/>
    <w:multiLevelType w:val="multilevel"/>
    <w:tmpl w:val="4B88F872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."/>
      <w:lvlJc w:val="left"/>
      <w:pPr>
        <w:ind w:hanging="432" w:left="792"/>
      </w:pPr>
    </w:lvl>
    <w:lvl w:ilvl="2">
      <w:start w:val="1"/>
      <w:numFmt w:val="decimal"/>
      <w:pStyle w:val="Heading3"/>
      <w:lvlText w:val="%1.%2.%3."/>
      <w:lvlJc w:val="left"/>
      <w:pPr>
        <w:ind w:hanging="504" w:left="1224"/>
      </w:pPr>
    </w:lvl>
    <w:lvl w:ilvl="3">
      <w:start w:val="1"/>
      <w:numFmt w:val="decimal"/>
      <w:pStyle w:val="Heading4"/>
      <w:lvlText w:val="%1.%2.%3.%4."/>
      <w:lvlJc w:val="left"/>
      <w:pPr>
        <w:ind w:hanging="648" w:left="1728"/>
      </w:pPr>
    </w:lvl>
    <w:lvl w:ilvl="4">
      <w:start w:val="1"/>
      <w:numFmt w:val="decimal"/>
      <w:pStyle w:val="Heading5"/>
      <w:lvlText w:val="%1.%2.%3.%4.%5."/>
      <w:lvlJc w:val="left"/>
      <w:pPr>
        <w:ind w:hanging="792" w:left="2232"/>
      </w:pPr>
    </w:lvl>
    <w:lvl w:ilvl="5">
      <w:start w:val="1"/>
      <w:numFmt w:val="decimal"/>
      <w:pStyle w:val="Heading6"/>
      <w:lvlText w:val="%1.%2.%3.%4.%5.%6."/>
      <w:lvlJc w:val="left"/>
      <w:pPr>
        <w:ind w:hanging="936" w:left="2736"/>
      </w:pPr>
    </w:lvl>
    <w:lvl w:ilvl="6">
      <w:start w:val="1"/>
      <w:numFmt w:val="decimal"/>
      <w:pStyle w:val="Heading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Heading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Heading9"/>
      <w:lvlText w:val="%1.%2.%3.%4.%5.%6.%7.%8.%9."/>
      <w:lvlJc w:val="left"/>
      <w:pPr>
        <w:ind w:hanging="1440" w:left="4320"/>
      </w:pPr>
    </w:lvl>
  </w:abstractNum>
  <w:abstractNum w15:restartNumberingAfterBreak="0" w:abstractNumId="26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303920866" w:numId="1">
    <w:abstractNumId w:val="14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4"/>
  </w:num>
  <w:num w16cid:durableId="1911959498" w:numId="13">
    <w:abstractNumId w:val="23"/>
  </w:num>
  <w:num w16cid:durableId="1400664278" w:numId="14">
    <w:abstractNumId w:val="22"/>
  </w:num>
  <w:num w16cid:durableId="797575161" w:numId="15">
    <w:abstractNumId w:val="21"/>
  </w:num>
  <w:num w16cid:durableId="1332903906" w:numId="16">
    <w:abstractNumId w:val="15"/>
  </w:num>
  <w:num w16cid:durableId="293290679" w:numId="17">
    <w:abstractNumId w:val="16"/>
  </w:num>
  <w:num w16cid:durableId="204610571" w:numId="18">
    <w:abstractNumId w:val="26"/>
  </w:num>
  <w:num w16cid:durableId="218170936" w:numId="19">
    <w:abstractNumId w:val="20"/>
  </w:num>
  <w:num w16cid:durableId="1539315709" w:numId="20">
    <w:abstractNumId w:val="25"/>
  </w:num>
  <w:num w16cid:durableId="684096350" w:numId="21">
    <w:abstractNumId w:val="13"/>
  </w:num>
  <w:num w16cid:durableId="1375154319" w:numId="22">
    <w:abstractNumId w:val="17"/>
  </w:num>
  <w:num w16cid:durableId="489449184" w:numId="23">
    <w:abstractNumId w:val="19"/>
  </w:num>
  <w:num w16cid:durableId="701327074" w:numId="24">
    <w:abstractNumId w:val="12"/>
  </w:num>
  <w:num w16cid:durableId="1360856025" w:numId="25">
    <w:abstractNumId w:val="18"/>
  </w:num>
  <w:num w16cid:durableId="1744908882" w:numId="26">
    <w:abstractNumId w:val="10"/>
  </w:num>
  <w:num w16cid:durableId="205796435" w:numId="27">
    <w:abstractNumId w:val="11"/>
  </w:num>
  <w:num w16cid:durableId="1378092934" w:numId="28">
    <w:abstractNumId w:val="11"/>
  </w:num>
  <w:num w16cid:durableId="1857378127" w:numId="29">
    <w:abstractNumId w:val="10"/>
  </w:num>
  <w:num w16cid:durableId="2028864901" w:numId="30">
    <w:abstractNumId w:val="11"/>
  </w:num>
  <w:num w16cid:durableId="1470631397" w:numId="31">
    <w:abstractNumId w:val="11"/>
  </w:num>
  <w:num w16cid:durableId="1980647855" w:numId="32">
    <w:abstractNumId w:val="10"/>
  </w:num>
  <w:num w16cid:durableId="2016493875" w:numId="33">
    <w:abstractNumId w:val="11"/>
  </w:num>
  <w:num w16cid:durableId="483358434" w:numId="34">
    <w:abstractNumId w:val="11"/>
  </w:num>
  <w:num w16cid:durableId="928153306" w:numId="35">
    <w:abstractNumId w:val="10"/>
  </w:num>
  <w:num w16cid:durableId="185218746" w:numId="36">
    <w:abstractNumId w:val="11"/>
  </w:num>
  <w:num w16cid:durableId="615716071" w:numId="37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w="http://schemas.openxmlformats.org/wordprocessingml/2006/main">
  <w:zoom w:percent="104"/>
  <w:defaultTabStop w:val="720"/>
  <w:hyphenationZone w:val="425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8D5867"/>
    <w:pPr>
      <w:keepNext/>
      <w:keepLines/>
      <w:numPr>
        <w:ilvl w:val="1"/>
        <w:numId w:val="20"/>
      </w:numPr>
      <w:spacing w:before="200"/>
      <w:ind w:hanging="431" w:left="788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D5867"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137D8"/>
    <w:pPr>
      <w:keepNext/>
      <w:keepLines/>
      <w:pBdr>
        <w:bottom w:color="auto" w:space="1" w:sz="4" w:val="sing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rsid w:val="00BE5A25"/>
    <w:pPr>
      <w:pBdr>
        <w:bottom w:color="auto" w:space="0" w:sz="0" w:val="none"/>
      </w:pBdr>
      <w:spacing w:before="240"/>
    </w:pPr>
    <w:rPr>
      <w:sz w:val="24"/>
      <w:szCs w:val="30"/>
    </w:rPr>
  </w:style>
  <w:style w:customStyle="1" w:styleId="Author" w:type="paragraph">
    <w:name w:val="Author"/>
    <w:next w:val="BodyText"/>
    <w:qFormat/>
    <w:rsid w:val="00BE5A25"/>
    <w:pPr>
      <w:keepNext/>
      <w:keepLines/>
      <w:spacing w:after="120"/>
      <w:jc w:val="center"/>
    </w:pPr>
    <w:rPr>
      <w:sz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A33FE1"/>
    <w:pPr>
      <w:jc w:val="center"/>
    </w:pPr>
  </w:style>
  <w:style w:customStyle="1" w:styleId="ImageCaption" w:type="paragraph">
    <w:name w:val="Image Caption"/>
    <w:basedOn w:val="Caption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9137D8"/>
    <w:rPr>
      <w:color w:val="C00000"/>
    </w:rPr>
  </w:style>
  <w:style w:styleId="TOCHeading" w:type="paragraph">
    <w:name w:val="TOC Heading"/>
    <w:basedOn w:val="Heading1"/>
    <w:next w:val="BodyText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BodyTextChar" w:type="character">
    <w:name w:val="Body Text Char"/>
    <w:basedOn w:val="DefaultParagraphFont"/>
    <w:link w:val="BodyText"/>
    <w:rsid w:val="008D5867"/>
  </w:style>
  <w:style w:styleId="ListParagraph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NoList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NoList"/>
    <w:uiPriority w:val="99"/>
    <w:rsid w:val="005E0C3D"/>
    <w:pPr>
      <w:numPr>
        <w:numId w:val="23"/>
      </w:numPr>
    </w:pPr>
  </w:style>
  <w:style w:styleId="Footer" w:type="paragraph">
    <w:name w:val="footer"/>
    <w:basedOn w:val="Normal"/>
    <w:link w:val="FooterCh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676DF8"/>
  </w:style>
  <w:style w:styleId="PageNumber" w:type="character">
    <w:name w:val="page number"/>
    <w:basedOn w:val="DefaultParagraphFont"/>
    <w:semiHidden/>
    <w:unhideWhenUsed/>
    <w:rsid w:val="00676DF8"/>
  </w:style>
  <w:style w:styleId="Header" w:type="paragraph">
    <w:name w:val="header"/>
    <w:basedOn w:val="Normal"/>
    <w:link w:val="HeaderCh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3F65B2"/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u w:val="none"/>
      <w:bdr w:color="auto" w:space="0" w:sz="0" w:val="none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u w:val="none"/>
      <w:bdr w:color="auto" w:space="0" w:sz="0" w:val="none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u w:val="none"/>
      <w:bdr w:color="auto" w:space="0" w:sz="0" w:val="none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u w:val="none"/>
      <w:bdr w:color="auto" w:space="0" w:sz="0" w:val="none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u w:val="none"/>
      <w:bdr w:color="auto" w:space="0" w:sz="0" w:val="none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u w:val="none"/>
      <w:bdr w:color="auto" w:space="0" w:sz="0" w:val="none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u w:val="none"/>
      <w:bdr w:color="auto" w:space="0" w:sz="0" w:val="none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u w:val="none"/>
      <w:bdr w:color="auto" w:space="0" w:sz="0" w:val="none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u w:val="none"/>
      <w:bdr w:color="auto" w:space="0" w:sz="0" w:val="none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u w:val="none"/>
      <w:bdr w:color="auto" w:space="0" w:sz="0" w:val="none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u w:val="none"/>
      <w:bdr w:color="auto" w:space="0" w:sz="0" w:val="none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u w:val="none"/>
      <w:bdr w:color="auto" w:space="0" w:sz="0" w:val="none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u w:val="none"/>
      <w:bdr w:color="auto" w:space="0" w:sz="0" w:val="none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color w:val="C00000"/>
      <w:sz w:val="22"/>
      <w:u w:val="none"/>
      <w:bdr w:color="auto" w:space="0" w:sz="0" w:val="none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

<Relationships  xmlns="http://schemas.openxmlformats.org/package/2006/relationships">
<Relationship Id="rId24" Type="http://schemas.openxmlformats.org/officeDocument/2006/relationships/numbering" Target="numbering.xml"/>
<Relationship Id="rId23" Type="http://schemas.openxmlformats.org/officeDocument/2006/relationships/styles" Target="styles.xml"/>
<Relationship Id="rId22" Type="http://schemas.openxmlformats.org/officeDocument/2006/relationships/settings" Target="settings.xml"/>
<Relationship Id="rId21" Type="http://schemas.openxmlformats.org/officeDocument/2006/relationships/webSettings" Target="webSettings.xml"/>
<Relationship Id="rId20" Type="http://schemas.openxmlformats.org/officeDocument/2006/relationships/fontTable" Target="fontTable.xml"/>
<Relationship Id="rId19" Type="http://schemas.openxmlformats.org/officeDocument/2006/relationships/theme" Target="theme/theme1.xml"/>
<Relationship Id="rId18" Type="http://schemas.openxmlformats.org/officeDocument/2006/relationships/footnotes" Target="footnotes.xml"/>
<Relationship Id="rId17" Type="http://schemas.openxmlformats.org/officeDocument/2006/relationships/comments" Target="comments.xml"/>
<Relationship Id="rId6" Type="http://schemas.openxmlformats.org/officeDocument/2006/relationships/image" Target="media/image2.png"/>
<Relationship Id="rId5" Type="http://schemas.openxmlformats.org/officeDocument/2006/relationships/image" Target="media/image1.png"/>
<Relationship Id="rId15" Type="http://schemas.openxmlformats.org/officeDocument/2006/relationships/image" Target="media/61f38afea17bc68d65570c6a3c3e299969040c5b.png"/>
<Relationship Id="rId16" Type="http://schemas.openxmlformats.org/officeDocument/2006/relationships/image" Target="media/836f05cf717bb56abae86d049241b4747fa44894.png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2651</Words>
  <Characters>15112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Статистический отчет</dc:title>
  <dc:creator>Нуриева Ильнара, Левченко Диана, Царегородцев Сергей, Ризатдинова София, Станин Владислав</dc:creator>
  <cp:keywords/>
  <dcterms:created xsi:type="dcterms:W3CDTF">2026-01-18T20:27:52Z</dcterms:created>
  <dcterms:modified xsi:type="dcterms:W3CDTF">2026-01-18T23:27:54Z</dcterms:modified>
  <cp:lastModifiedBy>vladstanin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Проспективное, многоцентровое, рандомизированное, тройное слепое, клиническое исследование с активным контролем в параллельных группах по сравнительной оценке эффективности и безопасности препарата Траумель, гель для местного применения, по сравнению с гелем диклофенака 1% при лечении боли у пациентов с остеоартрозом коленных суставов</vt:lpwstr>
  </property>
</Properties>
</file>