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numPr>
          <w:ilvl w:val="0"/>
          <w:numId w:val="2"/>
        </w:numPr>
        <w:spacing w:after="240" w:before="0" w:line="276" w:lineRule="auto"/>
        <w:ind w:left="709" w:hanging="851"/>
        <w:rPr/>
      </w:pPr>
      <w:bookmarkStart w:colFirst="0" w:colLast="0" w:name="_heading=h.y2ch6ix10mcm" w:id="0"/>
      <w:bookmarkEnd w:id="0"/>
      <w:r w:rsidDel="00000000" w:rsidR="00000000" w:rsidRPr="00000000">
        <w:rPr>
          <w:smallCaps w:val="1"/>
          <w:sz w:val="28"/>
          <w:szCs w:val="28"/>
          <w:rtl w:val="0"/>
        </w:rPr>
        <w:t xml:space="preserve">СТАТИСТИЧЕСКАЯ ОБРАБОТКА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fpk5nlrhday" w:id="1"/>
      <w:bookmarkEnd w:id="1"/>
      <w:r w:rsidDel="00000000" w:rsidR="00000000" w:rsidRPr="00000000">
        <w:rPr>
          <w:sz w:val="24"/>
          <w:szCs w:val="24"/>
          <w:rtl w:val="0"/>
        </w:rPr>
        <w:t xml:space="preserve">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Статистический анализ будет проводиться с помощью пакета R (версии не ниже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 с использованием специализированного программного обеспечения Rstudio.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ki81vtcniuaj" w:id="2"/>
      <w:bookmarkEnd w:id="2"/>
      <w:r w:rsidDel="00000000" w:rsidR="00000000" w:rsidRPr="00000000">
        <w:rPr>
          <w:sz w:val="24"/>
          <w:szCs w:val="24"/>
          <w:rtl w:val="0"/>
        </w:rPr>
        <w:t xml:space="preserve">Представление данных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описания количественных переменных будут использоваться количество наблюдений, среднее арифметическое значение и стандартное отклонение, медиана, нижний и верхний квартили, минимум и максимум.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Категориальные переменные будут описаны абсолютными частотами (количество наблюдений) и долями, выраженными в процентах.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Исходное значение для параметров, измеряемых на нескольких визитах, будет определяться как последнее измерение до начала применения исследуемых препаратов.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Все выполненные виды статистического анализа будут идентичны в отношении исследуемого препарата и в группе препарата сравнения. Сопутствующие заболевания и НЯ будут кодироваться с использованием словаря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словаря медицинских терминов для регуляторной деятельности (Medical Dictionary for Regulatory Activities (MedDRA))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текущей версии.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Подробный план статистического анализа будет представлен в отдельном документе, который будет финализирован до закрытия базы данных исследования.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cf38l212z3il" w:id="3"/>
      <w:bookmarkEnd w:id="3"/>
      <w:r w:rsidDel="00000000" w:rsidR="00000000" w:rsidRPr="00000000">
        <w:rPr>
          <w:sz w:val="24"/>
          <w:szCs w:val="24"/>
          <w:rtl w:val="0"/>
        </w:rPr>
        <w:t xml:space="preserve">Демографические и иные исходные данные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Скрининге будут собраны следующие демографические данные: возраст, дата рождения, пол, расовая принадлежность.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Рост и масса тела добровольцев будут измерены без верхней одежды и обуви и зарегистрированы с точностью до первого знака после запятой.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Индекс массы тела (ИМТ) будет рассчитываться с точностью до первого знака после запятой по формуле: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ИМТ = масса тела в кг/(рост в м)^2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Будет представлена сводная описательная статистика демографических и иных исходных характеристик для 3 групп (Траумель, Диклофенак, Все пациенты).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wjdysuqbdk13" w:id="4"/>
      <w:bookmarkEnd w:id="4"/>
      <w:r w:rsidDel="00000000" w:rsidR="00000000" w:rsidRPr="00000000">
        <w:rPr>
          <w:sz w:val="24"/>
          <w:szCs w:val="24"/>
          <w:rtl w:val="0"/>
        </w:rPr>
        <w:t xml:space="preserve">Анализ первичной конечной точки эффективности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проверки основной гипотезы исследования в качестве первичной конечной точки выбрано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среднее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оценки у пациента боли в коленном суставе в покое по 100 мм ВАШ (визуально-аналоговая шкала) на 30-й день по сравнению с исходным значением.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анализа данной конечной точки планируется построение одностороннего 97.5% доверительного интервала для разницы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средних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</w:t>
      </w:r>
      <w:sdt>
        <w:sdtPr>
          <w:id w:val="147882484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двустороннего 95% ДИ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с последующим сравнением его левой границы с порогом не меньшей эффективности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474747"/>
          <w:sz w:val="24"/>
          <w:szCs w:val="24"/>
          <w:rtl w:val="0"/>
        </w:rPr>
        <w:t xml:space="preserve">6.5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ВАШ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первичной конечной точки изменение интенсивности боли по ВАШ, будет представлено как среднее изменение от </w:t>
      </w:r>
      <w:sdt>
        <w:sdtPr>
          <w:id w:val="-1550559797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исходного уровня (Визит 1) на День 30 (Визит 3)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полученные разницы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будут протестированы между двумя группами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Траумель, Диклофенак)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помощью одностороннего t-критерия Стьюдента на уровне значимости 𝛼=0.025.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qcf1t0e2k3ye" w:id="5"/>
      <w:bookmarkEnd w:id="5"/>
      <w:r w:rsidDel="00000000" w:rsidR="00000000" w:rsidRPr="00000000">
        <w:rPr>
          <w:sz w:val="24"/>
          <w:szCs w:val="24"/>
          <w:rtl w:val="0"/>
        </w:rPr>
        <w:t xml:space="preserve">Анализ вторичных конечных точек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исследовании выбраны следующие вторичные конечные точки: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center" w:leader="none" w:pos="4677"/>
          <w:tab w:val="right" w:leader="none" w:pos="9355"/>
        </w:tabs>
        <w:spacing w:after="120" w:lineRule="auto"/>
        <w:ind w:left="70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 оценки пациентом боли в коленном суставе в покое по 100 мм ВАШ на 14-й день по сравнению с исходным значением.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tabs>
          <w:tab w:val="center" w:leader="none" w:pos="4677"/>
          <w:tab w:val="right" w:leader="none" w:pos="9355"/>
        </w:tabs>
        <w:spacing w:after="120" w:lineRule="auto"/>
        <w:ind w:left="70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Процентное снижение оценки пациентом боли в коленном суставе по 100 мм ВАШ на 14-й и 30-й день по сравнению с исходным значением.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center" w:leader="none" w:pos="4677"/>
          <w:tab w:val="right" w:leader="none" w:pos="9355"/>
        </w:tabs>
        <w:spacing w:after="120" w:lineRule="auto"/>
        <w:ind w:left="70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Снижение оценки пациентом боли в коленном суставе по 100 мм ВАШ после ходьбы на 20 метров на 14-й и 30-й день по сравнению с исходным значением.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анализе вторичных конечных точек для сравнению двух групп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Траумель, Диклофенак)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будет использован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дносторонний t-критерий Стьюдента для тестирования следующих параметров: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center" w:leader="none" w:pos="4677"/>
          <w:tab w:val="right" w:leader="none" w:pos="9355"/>
        </w:tabs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изменение значений боли по ВАШ с 1-го по 14-й день между группами;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center" w:leader="none" w:pos="4677"/>
          <w:tab w:val="right" w:leader="none" w:pos="9355"/>
        </w:tabs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процентное изменение значений боли по ВАШ с 1-го по 14-й день и с 1-го по 30-й день между группами;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center" w:leader="none" w:pos="4677"/>
          <w:tab w:val="right" w:leader="none" w:pos="9355"/>
        </w:tabs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изменение значений боли по ВАШ после ходьбы на 20 метров с 1-го по 14-й день и с 1-го по 30-й день между группами.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njpnzsjsqp6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описании всех оцениваемых величин, будут представлены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-значения, так и точечные оценки с соответствующими 97.5% односторонними доверительными интервалами.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1"/>
          <w:numId w:val="2"/>
        </w:numPr>
        <w:spacing w:after="12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89te7x8818or" w:id="7"/>
      <w:bookmarkEnd w:id="7"/>
      <w:r w:rsidDel="00000000" w:rsidR="00000000" w:rsidRPr="00000000">
        <w:rPr>
          <w:sz w:val="24"/>
          <w:szCs w:val="24"/>
          <w:rtl w:val="0"/>
        </w:rPr>
        <w:t xml:space="preserve">Анализ параметров безопасности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Оценка безопасности будет включать в себя определение общего количества, частоты и степени тяжести: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Нежелательных явлений (НЯ), независимо от их взаимосвязи с лечением;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НЯ, связанных или возможно связанных с применением препарата;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НЯ, требующих прекращения терапии. 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Данные о НЯ/СНЯ будут представлены по каждой группе в виде таблиц с указанием числа и процентной доли субъектов, у которых развились данные НЯ, включая классификацию НЯ по серьезности, степени тяжести, связи с препаратом, а также таблицы НЯ с группировкой по системно-органным классам (СОК) и предпочтительным терминам (ПТ) в соответствии с терминологией MedDRA. Будут также приведены данные о числе и процентной доле субъектов, преждевременно завершивших исследование в связи с развитием НЯ, связанных с применением препарата.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 выполнении статистического анализа данных о НЯ категории «Определенная», «Вероятная», «Возможная» будут расцениваться как «НЯ, связанные с применением препарата», категории «Сомнительная», «Условная», «Неклассифицируемая», «Не связано» – как «НЯ, не связанные с применением препарата».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Результаты физикального осмотра, ЭКГ, ЖВП и данные лабораторных анализов будут представлены с помощью методов описательной статистики..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z0djs8f94e64" w:id="8"/>
      <w:bookmarkEnd w:id="8"/>
      <w:r w:rsidDel="00000000" w:rsidR="00000000" w:rsidRPr="00000000">
        <w:rPr>
          <w:sz w:val="24"/>
          <w:szCs w:val="24"/>
          <w:rtl w:val="0"/>
        </w:rPr>
        <w:t xml:space="preserve">Промежуточный анализ данных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Промежуточный анализ данных не планируется в настоящем исследовании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rjaik3i8kmow" w:id="9"/>
      <w:bookmarkEnd w:id="9"/>
      <w:r w:rsidDel="00000000" w:rsidR="00000000" w:rsidRPr="00000000">
        <w:rPr>
          <w:sz w:val="24"/>
          <w:szCs w:val="24"/>
          <w:rtl w:val="0"/>
        </w:rPr>
        <w:t xml:space="preserve">Расчет объема выборки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Статистической целью настоящего исследования является доказательство не меньшей эффективности. 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не меньшей эффективности препаратов предполагается использование парного t-теста (изменение оценки интенсивности боли по шкале ВАШ).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Было принято априорное предположение о равной эффективности сравниваемых препаратов, т.е.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25" style="width:27.05pt;height:13.8pt" o:ole="" type="#_x0000_t75">
            <v:imagedata r:id="rId1" o:title=""/>
          </v:shape>
          <o:OLEObject DrawAspect="Content" r:id="rId2" ObjectID="_1735192754" ProgID="Equation.DSMT4" ShapeID="_x0000_i1025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Граница не меньшей эффективности </w:t>
      </w:r>
      <m:oMath>
        <m:r>
          <m:t>δ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=-6.5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баллов по шкале ВАШ (половина от минимальной клинически значимой разница для данной шкалы) [1].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данных Askari, 2019 [2] стандартное отклонение для снижения по шкале ВАШ вне зависимости от возраста и группы (T/R) составляет приблизительно </w:t>
      </w:r>
      <w:r w:rsidDel="00000000" w:rsidR="00000000" w:rsidRPr="00000000">
        <w:rPr>
          <w:rFonts w:ascii="Times New Roman" w:cs="Times New Roman" w:eastAsia="Times New Roman" w:hAnsi="Times New Roman"/>
          <w:color w:val="474747"/>
          <w:sz w:val="24"/>
          <w:szCs w:val="24"/>
          <w:highlight w:val="white"/>
          <w:rtl w:val="0"/>
        </w:rPr>
        <w:t xml:space="preserve">σ = 8.35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Вероятность ошибки I рода: 0.05, мощность: 80%.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статистическая гипотеза при использовании одностороннего 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𝐻0 : μ𝑇 − μ𝑅 ≤ δ</w:t>
      </w:r>
    </w:p>
    <w:p w:rsidR="00000000" w:rsidDel="00000000" w:rsidP="00000000" w:rsidRDefault="00000000" w:rsidRPr="00000000" w14:paraId="00000038">
      <w:pPr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𝐻𝑎: μ𝑇 − μ𝑅 &gt; δ,</w:t>
      </w:r>
    </w:p>
    <w:p w:rsidR="00000000" w:rsidDel="00000000" w:rsidP="00000000" w:rsidRDefault="00000000" w:rsidRPr="00000000" w14:paraId="00000039">
      <w:pPr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- среднее изменение оценки интенсивности боли по ВАШ от исходного уровня в тестовой группе, 𝛍R -  среднее изменение оценки интенсивности боли по ВАШ от исходного уровня в контрольной группе, 𝛅 - граница не меньшей эффективности, равная 6.5</w:t>
      </w:r>
    </w:p>
    <w:p w:rsidR="00000000" w:rsidDel="00000000" w:rsidP="00000000" w:rsidRDefault="00000000" w:rsidRPr="00000000" w14:paraId="0000003B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40"/>
          <w:szCs w:val="4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Была использована стандартная формула для оценки объема выборки из работы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z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α</m:t>
                </m:r>
              </m:sub>
            </m:s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z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β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δ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количества пациентов в 1 и 2 группах;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30" style="width:12.65pt;height:17.3pt" o:ole="" type="#_x0000_t75">
            <v:imagedata r:id="rId11" o:title=""/>
          </v:shape>
          <o:OLEObject DrawAspect="Content" r:id="rId12" ObjectID="_1735192759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031" style="width:12.65pt;height:19.6pt" o:ole="" type="#_x0000_t75">
            <v:imagedata r:id="rId13" o:title=""/>
          </v:shape>
          <o:OLEObject DrawAspect="Content" r:id="rId14" ObjectID="_1735192760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квантили стандартного нормального распределения. При расчете по формуле было использовано округление вверх до ближайшего целого.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получено, что минимально необходимый объем выборки для проведения исследования равен 52 (по 26 пациентов в каждую группу). С учетом 10% выбывания, объем выборки составит 58 пациентов (по 29 пациентов в каждую группу).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d42nvcq8u3q4" w:id="10"/>
      <w:bookmarkEnd w:id="10"/>
      <w:r w:rsidDel="00000000" w:rsidR="00000000" w:rsidRPr="00000000">
        <w:rPr>
          <w:sz w:val="24"/>
          <w:szCs w:val="24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line="240" w:lineRule="auto"/>
        <w:ind w:left="585" w:hanging="495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Gallagher EJ, Liebman M, Bijur PE. Prospective validation of clinically important changes in pain severity measured on a visual analog scale. Ann Emerg Med. 2001 Dec;38(6):633-8. doi: 10.1067/mem.2001.118863. PMID: 11719741.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="240" w:lineRule="auto"/>
        <w:ind w:left="585" w:hanging="4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Alireza Askari, Seyed Ali Ravansalar, Mohammad Mehdi Naghizadeh, Seyed Hamdollah Mosavat, Mahmood Khodadoost, Arezoo Moini Jazani, Mohammad Hashem Hashempur, The efficacy of topical sesame oil in patients with knee osteoarthritis: A randomized double-blinded active-controlled non-inferiority clinical trial, Complementary Therapies in Medicine, Volume 47, 2019, 102183, ISSN 0965-2299,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https://doi.org/10.1016/j.ctim.2019.08.017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(https://www.sciencedirect.com/science/article/pii/S0965229919307162)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lineRule="auto"/>
        <w:ind w:left="585" w:hanging="49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Chow S, Shao J, Wang H. Sample Size Calculations in Clinical Research. 2nd Ed. Chapman &amp; Hall/CRC Biostatistics Series,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70l27zpix5c" w:id="11"/>
      <w:bookmarkEnd w:id="11"/>
      <w:r w:rsidDel="00000000" w:rsidR="00000000" w:rsidRPr="00000000">
        <w:rPr>
          <w:sz w:val="24"/>
          <w:szCs w:val="24"/>
          <w:rtl w:val="0"/>
        </w:rPr>
        <w:t xml:space="preserve">Применяемый уровень значимости клинического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статистические тесты в настоящем исследовании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односторонние 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будут проводиться при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уровне доверия (пороговое 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подтверждения статистической значимости – 0.025).</w:t>
      </w:r>
    </w:p>
    <w:p w:rsidR="00000000" w:rsidDel="00000000" w:rsidP="00000000" w:rsidRDefault="00000000" w:rsidRPr="00000000" w14:paraId="00000046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Корректировка на множественные сравнения производиться не будет, поскольку для первичной конечной точки проводится только одно сравнение двух методов лечения, а вторичные конечные точки являются лишь вспомогательными.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wnf86mn1nlbl" w:id="12"/>
      <w:bookmarkEnd w:id="12"/>
      <w:r w:rsidDel="00000000" w:rsidR="00000000" w:rsidRPr="00000000">
        <w:rPr>
          <w:sz w:val="24"/>
          <w:szCs w:val="24"/>
          <w:rtl w:val="0"/>
        </w:rPr>
        <w:t xml:space="preserve">Процедуры учета отсутствующих, не подлежащих анализу и сомнительных данных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мониторинговых визитов в клинический центр специалисты по клиническим исследованиям (мониторы), уполномоченные спонсором, проведут анализ ИРК субъектов исследования на предмет отсутствия в них необходимых данных. В случае отсутствия данных в ИРК и наличия соответствующей информации в первичной документации, будут сформулированы запросы к исследователям и предписания по устранению несоответствий.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Менеджеры по контролю и обработке данных при проверке базы данных результатов исследования проведут анализ на предмет наличия сомнительных, пропущенных и не подлежащих анализу данных, по результатам которого могут быть также сформулированы запросы к исследователям. Исследователи, по возможности, устранят выявленные ошибки в ИРК и проинформируют об этом главного исследователя и уполномоченных представителей спонсора. Если выявленные ошибки в данных будет невозможно устранить после завершения участия пациентов в исследовании, в ходе статистического анализа данных будет проводиться анализ чувствительности результирующих параметров к наличию сомнительных данных.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о пропущенных, сомнительных и не подлежащих анализу данных будет представлена в финальном отчете о клиническом исследовании. Для всех видов конечных точек и иных параметров анализ будет проведен только на фактически доступной информации, без восполнения данных методами предсказательной статистики (т.н. imputation).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73meaovzn3j1" w:id="13"/>
      <w:bookmarkEnd w:id="13"/>
      <w:r w:rsidDel="00000000" w:rsidR="00000000" w:rsidRPr="00000000">
        <w:rPr>
          <w:sz w:val="24"/>
          <w:szCs w:val="24"/>
          <w:rtl w:val="0"/>
        </w:rPr>
        <w:t xml:space="preserve">Процедуры сообщения о любых отклонениях от первоначального статистического плана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Все отклонения от первоначального статистического плана должны быть описаны и обоснованы в поправке к протоколу и/или финальном отчете об исследовании (в последнем случае, план статистического анализа, разрабатываемый до начала проведения финального статистического анализа, должен содержать список данных отклонений с обоснованием причин для отклонения от статистического плана по протоколу).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1"/>
          <w:numId w:val="2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2h02bdr45s77" w:id="14"/>
      <w:bookmarkEnd w:id="14"/>
      <w:r w:rsidDel="00000000" w:rsidR="00000000" w:rsidRPr="00000000">
        <w:rPr>
          <w:sz w:val="24"/>
          <w:szCs w:val="24"/>
          <w:rtl w:val="0"/>
        </w:rPr>
        <w:t xml:space="preserve">Исследуемые популяции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проведения анализа будут использованы следующие популяции добровольцев: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Популяция всех включенных пациентов (intention-to-treat, ITT): все рандомизированные субъекты,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применяющие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хотя бы одну дозу исследуемого препарата/плацебо и завершившие хотя </w:t>
        <w:tab/>
        <w:t xml:space="preserve">бы один визит оценки параметров эффективности.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Популяция пациентов, завершивших исследование согласно протоколу (per protocol, PP): все рандомизированные субъекты, которые завершили участие в исследовании в соответствии с протоколом (закончили предписанный период лечения и наблюдения без существенных отклонений от протокола).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Популяция безопасности (TS): все рандомизированные субъекты,  применившие хотя бы одну дозу исследуемого препарата/препарата сравнения и завершившие хотя бы один визит оценки  параметров безопасности. В отличие от популяции ITT, популяция TS будет анализироваться в зависимости от фактически полученного, а не назначенного лечения (в случае, если будут выявлены отличия между назначенным и фактически полученным лечением).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Ольга Потанина" w:id="0" w:date="2026-01-18T11:49:0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Кажется лишним, односторонний ДИ же запланирован</w:t>
      </w:r>
    </w:p>
  </w:comment>
  <w:comment w:author="Ольга Потанина" w:id="1" w:date="2026-01-18T11:51:56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Изменение от исходного уровня ожидается отрицательное, но ваши гипотезы построены не так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3" w15:done="0"/>
  <w15:commentEx w15:paraId="0000005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right"/>
      <w:pPr>
        <w:ind w:left="2880" w:hanging="360"/>
      </w:pPr>
      <w:rPr>
        <w:sz w:val="28"/>
        <w:szCs w:val="28"/>
        <w:u w:val="none"/>
      </w:rPr>
    </w:lvl>
    <w:lvl w:ilvl="1">
      <w:start w:val="1"/>
      <w:numFmt w:val="decimal"/>
      <w:lvlText w:val="%1.%2."/>
      <w:lvlJc w:val="right"/>
      <w:pPr>
        <w:ind w:left="3600" w:hanging="360"/>
      </w:pPr>
      <w:rPr>
        <w:b w:val="1"/>
        <w:bCs w:val="1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432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504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20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585" w:hanging="495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05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9"/>
    <w:rsid w:val="0078581B"/>
    <w:rPr>
      <w:rFonts w:ascii="Times New Roman" w:cs="Times New Roman" w:eastAsia="Times New Roman" w:hAnsi="Times New Roman"/>
      <w:b w:val="1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rsid w:val="0078581B"/>
    <w:rPr>
      <w:rFonts w:ascii="Times New Roman" w:cs="Times New Roman" w:eastAsia="Times New Roman" w:hAnsi="Times New Roman"/>
      <w:b w:val="1"/>
      <w:sz w:val="36"/>
      <w:szCs w:val="36"/>
      <w:lang w:eastAsia="ru-RU"/>
    </w:rPr>
  </w:style>
  <w:style w:type="paragraph" w:styleId="a3">
    <w:name w:val="Normal (Web)"/>
    <w:basedOn w:val="a"/>
    <w:link w:val="a4"/>
    <w:uiPriority w:val="99"/>
    <w:unhideWhenUsed w:val="1"/>
    <w:rsid w:val="007858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pple-tab-span" w:customStyle="1">
    <w:name w:val="apple-tab-span"/>
    <w:basedOn w:val="a0"/>
    <w:rsid w:val="0078581B"/>
  </w:style>
  <w:style w:type="paragraph" w:styleId="111" w:customStyle="1">
    <w:name w:val="Стиль1.1.1"/>
    <w:basedOn w:val="3"/>
    <w:qFormat w:val="1"/>
    <w:rsid w:val="0078581B"/>
    <w:pPr>
      <w:keepNext w:val="0"/>
      <w:keepLines w:val="0"/>
      <w:numPr>
        <w:ilvl w:val="2"/>
        <w:numId w:val="1"/>
      </w:numPr>
      <w:tabs>
        <w:tab w:val="left" w:pos="709"/>
      </w:tabs>
      <w:spacing w:after="120" w:before="0" w:line="360" w:lineRule="auto"/>
      <w:jc w:val="both"/>
    </w:pPr>
    <w:rPr>
      <w:rFonts w:ascii="Times New Roman" w:cs="Times New Roman" w:eastAsia="Calibri" w:hAnsi="Times New Roman"/>
      <w:bCs w:val="0"/>
      <w:color w:val="auto"/>
      <w:sz w:val="24"/>
      <w:szCs w:val="28"/>
    </w:rPr>
  </w:style>
  <w:style w:type="paragraph" w:styleId="11" w:customStyle="1">
    <w:name w:val="Стиль1.1"/>
    <w:basedOn w:val="2"/>
    <w:qFormat w:val="1"/>
    <w:rsid w:val="0078581B"/>
    <w:pPr>
      <w:keepNext w:val="0"/>
      <w:keepLines w:val="0"/>
      <w:numPr>
        <w:ilvl w:val="1"/>
        <w:numId w:val="1"/>
      </w:numPr>
      <w:spacing w:after="120" w:before="0" w:line="276" w:lineRule="auto"/>
      <w:jc w:val="both"/>
    </w:pPr>
    <w:rPr>
      <w:rFonts w:eastAsia="Calibri"/>
      <w:lang w:eastAsia="en-US"/>
    </w:rPr>
  </w:style>
  <w:style w:type="character" w:styleId="a4" w:customStyle="1">
    <w:name w:val="Обычный (веб) Знак"/>
    <w:basedOn w:val="a0"/>
    <w:link w:val="a3"/>
    <w:uiPriority w:val="99"/>
    <w:rsid w:val="0078581B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semiHidden w:val="1"/>
    <w:rsid w:val="0078581B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a5">
    <w:name w:val="Balloon Text"/>
    <w:basedOn w:val="a"/>
    <w:link w:val="a6"/>
    <w:uiPriority w:val="99"/>
    <w:semiHidden w:val="1"/>
    <w:unhideWhenUsed w:val="1"/>
    <w:rsid w:val="0078581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78581B"/>
    <w:rPr>
      <w:rFonts w:ascii="Tahoma" w:cs="Tahoma" w:hAnsi="Tahoma"/>
      <w:sz w:val="16"/>
      <w:szCs w:val="16"/>
    </w:rPr>
  </w:style>
  <w:style w:type="paragraph" w:styleId="a7">
    <w:name w:val="footer"/>
    <w:basedOn w:val="a"/>
    <w:link w:val="a8"/>
    <w:uiPriority w:val="99"/>
    <w:unhideWhenUsed w:val="1"/>
    <w:rsid w:val="00251DD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styleId="a8" w:customStyle="1">
    <w:name w:val="Нижний колонтитул Знак"/>
    <w:basedOn w:val="a0"/>
    <w:link w:val="a7"/>
    <w:uiPriority w:val="99"/>
    <w:rsid w:val="00251DDC"/>
    <w:rPr>
      <w:rFonts w:ascii="Times New Roman" w:hAnsi="Times New Roman"/>
      <w:sz w:val="24"/>
    </w:rPr>
  </w:style>
  <w:style w:type="table" w:styleId="a9">
    <w:name w:val="Table Grid"/>
    <w:basedOn w:val="a1"/>
    <w:uiPriority w:val="39"/>
    <w:rsid w:val="0071476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a">
    <w:name w:val="List Paragraph"/>
    <w:basedOn w:val="a"/>
    <w:uiPriority w:val="34"/>
    <w:qFormat w:val="1"/>
    <w:rsid w:val="008F3F2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wmf"/><Relationship Id="rId10" Type="http://schemas.microsoft.com/office/2011/relationships/commentsExtended" Target="commentsExtended.xml"/><Relationship Id="rId13" Type="http://schemas.openxmlformats.org/officeDocument/2006/relationships/image" Target="media/image1.wmf"/><Relationship Id="rId12" Type="http://schemas.openxmlformats.org/officeDocument/2006/relationships/oleObject" Target="embeddings/oleObject2.bin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openxmlformats.org/officeDocument/2006/relationships/customXml" Target="../customXML/item1.xml"/><Relationship Id="rId15" Type="http://schemas.openxmlformats.org/officeDocument/2006/relationships/hyperlink" Target="https://doi.org/10.1016/j.ctim.2019.08.017" TargetMode="External"/><Relationship Id="rId14" Type="http://schemas.openxmlformats.org/officeDocument/2006/relationships/oleObject" Target="embeddings/oleObject1.bin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6FAdngI/tKp4FL9bR3QXhcSXA==">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2023-01-14T05:35:00Z</dcterms:created>
  <dc:creator>Kenelm</dc:creator>
</cp:coreProperties>
</file>