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633"/>
        <w:tblGridChange w:id="0">
          <w:tblGrid>
            <w:gridCol w:w="2689"/>
            <w:gridCol w:w="6633"/>
          </w:tblGrid>
        </w:tblGridChange>
      </w:tblGrid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 исследования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240" w:before="24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Проспективное, многоцентровое, рандомизированное, тройное слепое, клиническое исследование </w:t>
            </w:r>
            <w:r w:rsidDel="00000000" w:rsidR="00000000" w:rsidRPr="00000000">
              <w:rPr>
                <w:rtl w:val="0"/>
              </w:rPr>
              <w:t xml:space="preserve">с активным контролем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 параллельных группах по сравнительной оценке эффективности и безопасности препарата Траумель, гель для местного применения, по сравнению с гелем диклофенака 1% при лечении боли у пациентов с остеоартрозом коленных суставов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Код исследования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TF -</w:t>
            </w:r>
            <w:r w:rsidDel="00000000" w:rsidR="00000000" w:rsidRPr="00000000">
              <w:rPr>
                <w:rtl w:val="0"/>
              </w:rPr>
              <w:t xml:space="preserve"> 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Спонсор</w:t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454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Sauron’s Eye Ltd., Moscow, Russia</w:t>
              <w:tab/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Исследуемый препарат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Траумель (гель для местного применения), 2 г / 3 раза в день</w:t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Препарат сравнения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Диклофенак 1% (гель для местного применения), 2 г / 3 раза в день</w:t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Фаза клинического исследования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III</w:t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Планируемая продолжительность исследования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дней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Общий период набора – 6 месяцев</w:t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Планируемое количество исследовательских центров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до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Планируемое количество субъектов в исследовании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В исследование планируется включить (рандомизировать) 52 пациентов (по 26 пациентов в каждую группу) с учетом возможного досрочного выбывания 10%. Минимально достаточное для статистического анализа количество пациентов – </w:t>
            </w:r>
            <w:sdt>
              <w:sdtPr>
                <w:id w:val="-1753440911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58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  <w:t xml:space="preserve"> (по 29 пациентов в каждую из групп лечения), закончивших исследование по Протоколу.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Способ применения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752023846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2 г 3 раза в день местно, втирать в область коленного сустава 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Цель исследования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Целью данного исследования является оценка не меньшей терапевтической эффективности (non-inferiority) и безопасности  геля Траумель по сравнению с гелем диклофенака в отношении изменения боли в колене у пациентов с умеренной и сильной болью в колене, связанной с остеоартрозом.</w:t>
            </w:r>
          </w:p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-1821899473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Вторичные цели — оценить снижение боли и скованности, а также изменение физической функции.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Безопасность оценивается по частоте возникновения нежелательных явлений в течение периода лечения и периода наблюдения у всех </w:t>
            </w:r>
            <w:sdt>
              <w:sdtPr>
                <w:id w:val="442253547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tl w:val="0"/>
              </w:rPr>
              <w:t xml:space="preserve">рандомизированных пациентов</w:t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8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Задачи исследования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433946949"/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Основная задача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Изучение </w:t>
            </w:r>
            <w:sdt>
              <w:sdtPr>
                <w:id w:val="182915646"/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rtl w:val="0"/>
              </w:rPr>
              <w:t xml:space="preserve">не уступающей терапевтической эффективности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  <w:t xml:space="preserve"> геля Траумель по сравнению с гелем диклофенака 1%  по изменению интенсивности боли в целевом коленном суставе, измеряемой по 100 мм визуальной аналоговой шкале боли (ВАШ) в покое, а также  при ходьбе/нагрузке, от исходного уровня до визита окончания лечения.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Дополнительные задачи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68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изменени</w:t>
            </w:r>
            <w:r w:rsidDel="00000000" w:rsidR="00000000" w:rsidRPr="00000000">
              <w:rPr>
                <w:rtl w:val="0"/>
              </w:rPr>
              <w:t xml:space="preserve">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интенсивности боли по 100 мм ВАШ  в </w:t>
            </w:r>
            <w:r w:rsidDel="00000000" w:rsidR="00000000" w:rsidRPr="00000000">
              <w:rPr>
                <w:rtl w:val="0"/>
              </w:rPr>
              <w:t xml:space="preserve">1 день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через 7 дней и на 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дней терапии.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нежелательных явлений в группах лечения во время периода а</w:t>
            </w:r>
            <w:r w:rsidDel="00000000" w:rsidR="00000000" w:rsidRPr="00000000">
              <w:rPr>
                <w:rtl w:val="0"/>
              </w:rPr>
              <w:t xml:space="preserve">ктивного лечения  и в период наблюдения в течение 6 недель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8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Методология исследования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Дизайн исследования</w:t>
            </w:r>
          </w:p>
          <w:p w:rsidR="00000000" w:rsidDel="00000000" w:rsidP="00000000" w:rsidRDefault="00000000" w:rsidRPr="00000000" w14:paraId="0000002A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Проспективное, многоцентровое, рандомизированное, тройное слепое, клиническое исследование с активным контролем в параллельных группах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Периоды исследования: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I. Скрининг + рандомизация + начало лечения: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Визит 1 (День 1)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II. Контроль эффективности и безопасности терапии: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Визит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(День </w:t>
            </w: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±1) 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Визит 3 (День 30±1)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Визит 1 (День 1):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Участие пациента в исследовании начинается с момента подписания им формы информированного согласия.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Для решения вопроса о включении пациента в исследование, используются данные следующих обследований: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Демографические данные (дата рождения, пол, возраст);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Измерение массы тела и роста;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Сбор анамнеза;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Регистрация сопутствующей терапии;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критериев включения/ невключения;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262707513"/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Измерение температуры тела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интенсивности боли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колене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по ВАШ в покое;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1"/>
              </w:numPr>
              <w:spacing w:line="276" w:lineRule="auto"/>
              <w:ind w:left="360"/>
            </w:pPr>
            <w:r w:rsidDel="00000000" w:rsidR="00000000" w:rsidRPr="00000000">
              <w:rPr>
                <w:rtl w:val="0"/>
              </w:rPr>
              <w:t xml:space="preserve">Оценка интенсивности боли в колене по ВАШ после ходьбы на дистанцию 20 м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Физикальный осмотр (включая осмотр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основных показателей жизнедеятельности (ЧСС, ЧДД, АД, температура);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Клинический анализ крови;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Электрокардиография 12-отведений;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Экспресс-тест мочи на беременность;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Также в первый визит проходит: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Рандомизация;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Выдача препаратов исследования;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Выдача дневника пациента и обучения пациента правилам его заполнения;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Начало терапии препаратами исследования.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 проведения скрининговых обследований, в тот же день, пациенты, которые соответствуют всем критериям включения/невключения, будут рандомизированы в одну из групп терапии: Траумель, или Диклофенак. Группа будет определяться с помощью рандомизации (в соотношении 1:1). Пациентам на руки выдается препарат, соответствующий группе лечения и дневник пациента. </w:t>
            </w:r>
          </w:p>
          <w:p w:rsidR="00000000" w:rsidDel="00000000" w:rsidP="00000000" w:rsidRDefault="00000000" w:rsidRPr="00000000" w14:paraId="0000004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Пациентам проводят тренинг по заполнению «дневника пациента». Пациенты пройдут инструктаж, после чего пациенты смогут начать курс лечения препаратами исследования. Началом терапии в обеих группах будет считаться первое применение препарата, соответствующего выбранной группе лечения, в «День 1», после рандомизации.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Между визитами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пациенты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обеих групп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посещают исследовательский центр.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случае</w:t>
            </w:r>
            <w:r w:rsidDel="00000000" w:rsidR="00000000" w:rsidRPr="00000000">
              <w:rPr>
                <w:rtl w:val="0"/>
              </w:rPr>
              <w:t xml:space="preserve">, когда боль будет усиливаться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врач-исследователь принимает решение о досрочном прекращении терапии исследования. В этом случае проводится внеплановый визит в исследовательский центр.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Визит </w:t>
            </w: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2 (День 14±1), 3 (День 30±1)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Визит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проводится в 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ень 14±1</w:t>
            </w:r>
            <w:r w:rsidDel="00000000" w:rsidR="00000000" w:rsidRPr="00000000">
              <w:rPr>
                <w:rtl w:val="0"/>
              </w:rPr>
              <w:t xml:space="preserve">, визит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проводится в день </w:t>
            </w: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±1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пациент должен явиться в исследовательский центр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принести заполненный дневник. Во </w:t>
            </w:r>
            <w:r w:rsidDel="00000000" w:rsidR="00000000" w:rsidRPr="00000000">
              <w:rPr>
                <w:rtl w:val="0"/>
              </w:rPr>
              <w:t xml:space="preserve">время третьего визита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пациент должен принести также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неиспользованный препарат.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Процедуры на визит</w:t>
            </w:r>
            <w:r w:rsidDel="00000000" w:rsidR="00000000" w:rsidRPr="00000000">
              <w:rPr>
                <w:rtl w:val="0"/>
              </w:rPr>
              <w:t xml:space="preserve">ах 2 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для пациентов обеих групп: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Сбор жалоб, актуализация анамнеза;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Регистрация сопутствующей терапии;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Физикальный осмотр (включая осмотр </w:t>
            </w:r>
            <w:r w:rsidDel="00000000" w:rsidR="00000000" w:rsidRPr="00000000">
              <w:rPr>
                <w:rtl w:val="0"/>
              </w:rPr>
              <w:t xml:space="preserve">колена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Оценка интенсивности боли в колене по ВАШ в покое;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1"/>
              </w:numPr>
              <w:spacing w:line="276" w:lineRule="auto"/>
              <w:ind w:left="360"/>
            </w:pPr>
            <w:r w:rsidDel="00000000" w:rsidR="00000000" w:rsidRPr="00000000">
              <w:rPr>
                <w:rtl w:val="0"/>
              </w:rPr>
              <w:t xml:space="preserve">Оценка интенсивности боли в колене по ВАШ после ходьбы на дистанцию 20 м;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основных показателей жизнедеятельности;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нежелательных явлений;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критериев исключения;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1"/>
              </w:numPr>
              <w:spacing w:line="276" w:lineRule="auto"/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Оценка приверженности процедурам исследования (комплаентность в отношении заполнения дневников, приема препаратов исследования).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случае, </w:t>
            </w:r>
            <w:r w:rsidDel="00000000" w:rsidR="00000000" w:rsidRPr="00000000">
              <w:rPr>
                <w:rtl w:val="0"/>
              </w:rPr>
              <w:t xml:space="preserve">если боль будет усиливаться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к последнему дню терапии, дальнейшее лечение будет проводиться в соответствии со стандартами терапии лечебного учреждения, в котором проводится исследование.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710728638"/>
              <w:tag w:val="goog_rdk_8"/>
            </w:sdtPr>
            <w:sdtContent>
              <w:tbl>
                <w:tblPr>
                  <w:tblStyle w:val="Table2"/>
                  <w:tblW w:w="642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2505"/>
                  <w:gridCol w:w="1425"/>
                  <w:gridCol w:w="1335"/>
                  <w:gridCol w:w="1155"/>
                  <w:tblGridChange w:id="0">
                    <w:tblGrid>
                      <w:gridCol w:w="2505"/>
                      <w:gridCol w:w="1425"/>
                      <w:gridCol w:w="1335"/>
                      <w:gridCol w:w="1155"/>
                    </w:tblGrid>
                  </w:tblGridChange>
                </w:tblGrid>
                <w:tr>
                  <w:trPr>
                    <w:cantSplit w:val="0"/>
                    <w:trHeight w:val="1241.953125" w:hRule="atLeast"/>
                    <w:tblHeader w:val="1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240" w:before="240" w:line="240" w:lineRule="auto"/>
                        <w:ind w:left="0" w:right="0" w:firstLine="0"/>
                        <w:jc w:val="center"/>
                        <w:rPr>
                          <w:b w:val="1"/>
                          <w:bCs w:val="1"/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 xml:space="preserve">Процедура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2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240" w:before="240" w:line="240" w:lineRule="auto"/>
                        <w:ind w:left="0" w:right="0" w:firstLine="0"/>
                        <w:jc w:val="center"/>
                        <w:rPr>
                          <w:b w:val="1"/>
                          <w:bCs w:val="1"/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 xml:space="preserve">Визит 1 (День 1) Скрининг/  рандомизация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3">
                      <w:pPr>
                        <w:widowControl w:val="0"/>
                        <w:spacing w:after="240" w:before="240" w:line="240" w:lineRule="auto"/>
                        <w:jc w:val="center"/>
                        <w:rPr>
                          <w:b w:val="1"/>
                          <w:bCs w:val="1"/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 xml:space="preserve">Визит 2    (День 14±1)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4">
                      <w:pPr>
                        <w:widowControl w:val="0"/>
                        <w:spacing w:after="240" w:before="240" w:line="240" w:lineRule="auto"/>
                        <w:jc w:val="center"/>
                        <w:rPr>
                          <w:b w:val="1"/>
                          <w:bCs w:val="1"/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b w:val="1"/>
                          <w:bCs w:val="1"/>
                          <w:sz w:val="16"/>
                          <w:szCs w:val="16"/>
                          <w:rtl w:val="0"/>
                        </w:rPr>
                        <w:t xml:space="preserve">Визит 3 (День 30±1)</w:t>
                      </w:r>
                    </w:p>
                  </w:tc>
                </w:tr>
                <w:tr>
                  <w:trPr>
                    <w:cantSplit w:val="0"/>
                    <w:trHeight w:val="570" w:hRule="atLeast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5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Подписание информированного согласия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6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7">
                      <w:pPr>
                        <w:widowControl w:val="0"/>
                        <w:spacing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8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570" w:hRule="atLeast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9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Оценка критериев включения/невключения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A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B">
                      <w:pPr>
                        <w:widowControl w:val="0"/>
                        <w:spacing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C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585" w:hRule="atLeast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D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Демографические данные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E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F">
                      <w:pPr>
                        <w:widowControl w:val="0"/>
                        <w:spacing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0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475.986328125" w:hRule="atLeast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1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Рост/масса тела (антропометрия)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2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3">
                      <w:pPr>
                        <w:widowControl w:val="0"/>
                        <w:spacing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4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600" w:hRule="atLeast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5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Сбор анамнеза / сбор жалоб, актуализация анамнеза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6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7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8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</w:tr>
                <w:tr>
                  <w:trPr>
                    <w:cantSplit w:val="0"/>
                    <w:trHeight w:val="435" w:hRule="atLeast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9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Регистрация сопутствующей терапии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A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B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C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</w:tr>
                <w:tr>
                  <w:trPr>
                    <w:cantSplit w:val="0"/>
                    <w:trHeight w:val="495" w:hRule="atLeast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D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Физикальный осмотр (включая осмотр колена)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E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F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0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</w:tr>
                <w:tr>
                  <w:trPr>
                    <w:cantSplit w:val="0"/>
                    <w:trHeight w:val="645" w:hRule="atLeast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1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Основные показатели жизнедеятельности (в т.ч. АД/ЧСС/ЧДД/температура)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2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3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4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</w:tr>
                <w:tr>
                  <w:trPr>
                    <w:cantSplit w:val="0"/>
                    <w:trHeight w:val="390" w:hRule="atLeast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5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ВАШ боли в покое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6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7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8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9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ВАШ боли после ходьбы 20 м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A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B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C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D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sdt>
                        <w:sdtPr>
                          <w:id w:val="-1739627510"/>
                          <w:tag w:val="goog_rdk_7"/>
                        </w:sdtPr>
                        <w:sdtContent>
                          <w:commentRangeStart w:id="7"/>
                        </w:sdtContent>
                      </w:sdt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Клинический анализ крови</w:t>
                      </w:r>
                      <w:commentRangeEnd w:id="7"/>
                      <w:r w:rsidDel="00000000" w:rsidR="00000000" w:rsidRPr="00000000">
                        <w:commentReference w:id="7"/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E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8F">
                      <w:pPr>
                        <w:widowControl w:val="0"/>
                        <w:spacing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0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450" w:hRule="atLeast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1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ЭКГ 12-отведений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2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3">
                      <w:pPr>
                        <w:widowControl w:val="0"/>
                        <w:spacing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4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415.986328125" w:hRule="atLeast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5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Экспресс-тест мочи на беременность (при необходимости)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6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7">
                      <w:pPr>
                        <w:widowControl w:val="0"/>
                        <w:spacing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8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435" w:hRule="atLeast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9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Рандомизация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A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B">
                      <w:pPr>
                        <w:widowControl w:val="0"/>
                        <w:spacing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C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520.986328125" w:hRule="atLeast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D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Выдача препаратов исследования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E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9F">
                      <w:pPr>
                        <w:widowControl w:val="0"/>
                        <w:spacing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0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225" w:hRule="atLeast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1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Оценка комплаентности 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2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3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4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5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Оценка критериев исключения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6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7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8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</w:tr>
                <w:tr>
                  <w:trPr>
                    <w:cantSplit w:val="0"/>
                    <w:trHeight w:val="180" w:hRule="atLeast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9">
                      <w:pPr>
                        <w:widowControl w:val="0"/>
                        <w:spacing w:after="0" w:before="0" w:line="240" w:lineRule="auto"/>
                        <w:jc w:val="left"/>
                        <w:rPr>
                          <w:sz w:val="16"/>
                          <w:szCs w:val="16"/>
                        </w:rPr>
                      </w:pPr>
                      <w:r w:rsidDel="00000000" w:rsidR="00000000" w:rsidRPr="00000000">
                        <w:rPr>
                          <w:sz w:val="16"/>
                          <w:szCs w:val="16"/>
                          <w:rtl w:val="0"/>
                        </w:rPr>
                        <w:t xml:space="preserve">Нежелательные явления (оценка НЯ)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A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AB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  <w:tc>
                    <w:tcPr>
                      <w:tcMar>
                        <w:top w:w="56.69291338582678" w:type="dxa"/>
                        <w:left w:w="56.69291338582678" w:type="dxa"/>
                        <w:bottom w:w="56.69291338582678" w:type="dxa"/>
                        <w:right w:w="56.69291338582678" w:type="dxa"/>
                      </w:tcMar>
                      <w:vAlign w:val="top"/>
                    </w:tcPr>
                    <w:p w:rsidR="00000000" w:rsidDel="00000000" w:rsidP="00000000" w:rsidRDefault="00000000" w:rsidRPr="00000000" w14:paraId="000000AC">
                      <w:pPr>
                        <w:widowControl w:val="0"/>
                        <w:spacing w:after="240" w:before="240" w:line="240" w:lineRule="auto"/>
                        <w:jc w:val="left"/>
                        <w:rPr>
                          <w:sz w:val="14"/>
                          <w:szCs w:val="14"/>
                        </w:rPr>
                      </w:pPr>
                      <w:r w:rsidDel="00000000" w:rsidR="00000000" w:rsidRPr="00000000">
                        <w:rPr>
                          <w:sz w:val="14"/>
                          <w:szCs w:val="14"/>
                          <w:rtl w:val="0"/>
                        </w:rPr>
                        <w:t xml:space="preserve">X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Внеплановые визиты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Внеплановые визиты будут проводиться по мере необходимости, например, при ухудшении течения заболевания, развитии НЯ или в случае непереносимости терапии препаратом.  При проведении внепланового визита независимо от его причины исследователем выполняются следующие процедуры и заполняются соответствующие страницы эИРК (Внеплановый визит):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Физикальное обследование (включая местный осмотр);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Оценка интенсивности боли в колене по ВАШ в покое;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Измерение основных показателей жизнедеятельности (АД, ЧСС, ЧДД, температура тела);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НЯ;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 сопутствующей терапии;</w:t>
            </w:r>
          </w:p>
          <w:p w:rsidR="00000000" w:rsidDel="00000000" w:rsidP="00000000" w:rsidRDefault="00000000" w:rsidRPr="00000000" w14:paraId="000000B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 наличии показаний может быть дополнительно выполнена любая из процедур исследования по решению Главного исследователя.</w:t>
            </w:r>
          </w:p>
          <w:p w:rsidR="00000000" w:rsidDel="00000000" w:rsidP="00000000" w:rsidRDefault="00000000" w:rsidRPr="00000000" w14:paraId="000000B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Основные параметры оценки эффективности и безопасности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Первичная конечная точка: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нижение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оценки пациентом боли в коленном суставе в покое по 100 мм ВАШ (визуально-аналоговая шкала) </w:t>
            </w:r>
            <w:r w:rsidDel="00000000" w:rsidR="00000000" w:rsidRPr="00000000">
              <w:rPr>
                <w:rtl w:val="0"/>
              </w:rPr>
              <w:t xml:space="preserve">на</w:t>
            </w:r>
            <w:r w:rsidDel="00000000" w:rsidR="00000000" w:rsidRPr="00000000">
              <w:rPr>
                <w:rtl w:val="0"/>
              </w:rPr>
              <w:t xml:space="preserve"> 30-й день</w:t>
            </w:r>
            <w:r w:rsidDel="00000000" w:rsidR="00000000" w:rsidRPr="00000000">
              <w:rPr>
                <w:rtl w:val="0"/>
              </w:rPr>
              <w:t xml:space="preserve"> (Визит 3) по сравнению с исходным значением (Визит 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bookmarkStart w:colFirst="0" w:colLast="0" w:name="_heading=h.ra9e201rfeoc" w:id="0"/>
            <w:bookmarkEnd w:id="0"/>
            <w:sdt>
              <w:sdtPr>
                <w:id w:val="-1322321954"/>
                <w:tag w:val="goog_rdk_9"/>
              </w:sdtPr>
              <w:sdtContent>
                <w:commentRangeStart w:id="8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Вторичные конечные точки: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3"/>
              </w:numPr>
              <w:tabs>
                <w:tab w:val="center" w:leader="none" w:pos="4677"/>
                <w:tab w:val="right" w:leader="none" w:pos="9355"/>
              </w:tabs>
              <w:spacing w:after="120" w:line="276" w:lineRule="auto"/>
              <w:ind w:left="705" w:hanging="285"/>
              <w:rPr/>
            </w:pPr>
            <w:r w:rsidDel="00000000" w:rsidR="00000000" w:rsidRPr="00000000">
              <w:rPr>
                <w:rtl w:val="0"/>
              </w:rPr>
              <w:t xml:space="preserve">Снижение оценки пациентом боли в коленном суставе в покое по 100 мм ВАШ на</w:t>
            </w:r>
            <w:r w:rsidDel="00000000" w:rsidR="00000000" w:rsidRPr="00000000">
              <w:rPr>
                <w:rtl w:val="0"/>
              </w:rPr>
              <w:t xml:space="preserve"> 14-й день (Визит 2) по сравнению с исходным значением (Визит 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afterAutospacing="0" w:before="0" w:line="276" w:lineRule="auto"/>
              <w:ind w:left="705" w:right="0" w:hanging="28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Процентное снижение оценки пациентом боли в коленном суставе по 100 мм ВАШ </w:t>
            </w:r>
            <w:r w:rsidDel="00000000" w:rsidR="00000000" w:rsidRPr="00000000">
              <w:rPr>
                <w:rtl w:val="0"/>
              </w:rPr>
              <w:t xml:space="preserve">на</w:t>
            </w:r>
            <w:r w:rsidDel="00000000" w:rsidR="00000000" w:rsidRPr="00000000">
              <w:rPr>
                <w:rtl w:val="0"/>
              </w:rPr>
              <w:t xml:space="preserve"> 14-й и 30-й день (Визиты 2 и 3) по сравнению </w:t>
            </w:r>
            <w:r w:rsidDel="00000000" w:rsidR="00000000" w:rsidRPr="00000000">
              <w:rPr>
                <w:rtl w:val="0"/>
              </w:rPr>
              <w:t xml:space="preserve">с исходным значением (Визит 1).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705" w:right="0" w:hanging="285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Снижение оценки пациентом боли в коленном суставе по 100 мм ВАШ после </w:t>
            </w:r>
            <w:r w:rsidDel="00000000" w:rsidR="00000000" w:rsidRPr="00000000">
              <w:rPr>
                <w:rtl w:val="0"/>
              </w:rPr>
              <w:t xml:space="preserve">ходьбы</w:t>
            </w:r>
            <w:r w:rsidDel="00000000" w:rsidR="00000000" w:rsidRPr="00000000">
              <w:rPr>
                <w:rtl w:val="0"/>
              </w:rPr>
              <w:t xml:space="preserve"> 20 метров на</w:t>
            </w:r>
            <w:r w:rsidDel="00000000" w:rsidR="00000000" w:rsidRPr="00000000">
              <w:rPr>
                <w:rtl w:val="0"/>
              </w:rPr>
              <w:t xml:space="preserve"> 14-й и 30-й день (Визиты 2 и 3) по сравнению </w:t>
            </w:r>
            <w:r w:rsidDel="00000000" w:rsidR="00000000" w:rsidRPr="00000000">
              <w:rPr>
                <w:rtl w:val="0"/>
              </w:rPr>
              <w:t xml:space="preserve">с исходным значением (Визит 1)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6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Визуальная аналоговая шкала боли</w:t>
            </w:r>
          </w:p>
          <w:p w:rsidR="00000000" w:rsidDel="00000000" w:rsidP="00000000" w:rsidRDefault="00000000" w:rsidRPr="00000000" w14:paraId="000000BF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Боль оценивалась по 100-миллиметровой визуальной аналоговой шкале (ВАШ), где 0 означает отсутствие боли, а 100 – максимальную, невыносимую боль. В основе анализа лежали абсолютные значения ВАШ. Оценка производилась пациентом самостоятельно на основании личных ощущений о боли в коленном суставе.</w:t>
            </w:r>
          </w:p>
          <w:p w:rsidR="00000000" w:rsidDel="00000000" w:rsidP="00000000" w:rsidRDefault="00000000" w:rsidRPr="00000000" w14:paraId="000000C0">
            <w:pPr>
              <w:spacing w:after="16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Таким образом, чем больше изменение оценки на </w:t>
            </w:r>
            <w:r w:rsidDel="00000000" w:rsidR="00000000" w:rsidRPr="00000000">
              <w:rPr>
                <w:rtl w:val="0"/>
              </w:rPr>
              <w:t xml:space="preserve">на 14-й и 30-й день (Визиты 2 и 3) по сравнению с исходным значением </w:t>
            </w:r>
            <w:r w:rsidDel="00000000" w:rsidR="00000000" w:rsidRPr="00000000">
              <w:rPr>
                <w:rtl w:val="0"/>
              </w:rPr>
              <w:t xml:space="preserve">в отрицательную сторону, тем больше эффективность препарата.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12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Параметры безопасности: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Оценка безопасности будет проводиться путем анализа НЯ: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7"/>
              </w:numPr>
              <w:tabs>
                <w:tab w:val="center" w:leader="none" w:pos="4677"/>
                <w:tab w:val="right" w:leader="none" w:pos="9355"/>
              </w:tabs>
              <w:spacing w:line="276" w:lineRule="auto"/>
              <w:ind w:left="708.6614173228347" w:hanging="283.464566929134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Общая частота </w:t>
            </w:r>
            <w:r w:rsidDel="00000000" w:rsidR="00000000" w:rsidRPr="00000000">
              <w:rPr>
                <w:rtl w:val="0"/>
              </w:rPr>
              <w:t xml:space="preserve">НЯ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7"/>
              </w:numPr>
              <w:tabs>
                <w:tab w:val="center" w:leader="none" w:pos="4677"/>
                <w:tab w:val="right" w:leader="none" w:pos="9355"/>
              </w:tabs>
              <w:spacing w:line="276" w:lineRule="auto"/>
              <w:ind w:left="708.6614173228347" w:hanging="283.464566929134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Число/доля пациентов, прекративших лечение в связи с возникновением НЯ.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Описание нежелательных явлений будет представлено согласно следующей схеме: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описание нежелательного явления;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серьёзность;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тяжесть проявления;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длительность;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наличие связи с исследуемым препаратом;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77"/>
                <w:tab w:val="right" w:leader="none" w:pos="9355"/>
              </w:tabs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исход.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Кодирование НЯ будет проведено в соответствии с актуальной версией словаря медицинских терминов для регуляторной деятельности (Medical Dictionary for Regulatory Activities (MedDRA)).</w:t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включения</w:t>
            </w:r>
          </w:p>
        </w:tc>
        <w:tc>
          <w:tcPr/>
          <w:p w:rsidR="00000000" w:rsidDel="00000000" w:rsidP="00000000" w:rsidRDefault="00000000" w:rsidRPr="00000000" w14:paraId="000000D0">
            <w:pPr>
              <w:tabs>
                <w:tab w:val="center" w:leader="none" w:pos="4677"/>
                <w:tab w:val="right" w:leader="none" w:pos="9355"/>
              </w:tabs>
              <w:spacing w:after="120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Пациенты, отвечающие всем критериям включения, будут включены в исследование: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2"/>
              </w:numPr>
              <w:tabs>
                <w:tab w:val="center" w:leader="none" w:pos="4677"/>
                <w:tab w:val="right" w:leader="none" w:pos="9355"/>
              </w:tabs>
              <w:spacing w:after="0" w:afterAutospacing="0" w:line="276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Добровольно подписанное пациентом Информированное согласие на участие в исследовании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2"/>
              </w:numPr>
              <w:tabs>
                <w:tab w:val="center" w:leader="none" w:pos="4677"/>
                <w:tab w:val="right" w:leader="none" w:pos="9355"/>
              </w:tabs>
              <w:spacing w:after="0" w:afterAutospacing="0" w:line="276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Мужчины и женщины в возрасте от 40 до 80 лет включительно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2"/>
              </w:numPr>
              <w:tabs>
                <w:tab w:val="center" w:leader="none" w:pos="4677"/>
                <w:tab w:val="right" w:leader="none" w:pos="9355"/>
              </w:tabs>
              <w:spacing w:after="0" w:afterAutospacing="0" w:line="276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Наличие диагноза первичного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остеоартрита коленного сустава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подтвержденного </w:t>
            </w:r>
            <w:r w:rsidDel="00000000" w:rsidR="00000000" w:rsidRPr="00000000">
              <w:rPr>
                <w:rtl w:val="0"/>
              </w:rPr>
              <w:t xml:space="preserve">рентгенографическим исследованием, проведённым не менее чем за 6 месяцев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до </w:t>
            </w:r>
            <w:r w:rsidDel="00000000" w:rsidR="00000000" w:rsidRPr="00000000">
              <w:rPr>
                <w:rtl w:val="0"/>
              </w:rPr>
              <w:t xml:space="preserve">начала исследования;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2"/>
              </w:numPr>
              <w:tabs>
                <w:tab w:val="center" w:leader="none" w:pos="4677"/>
                <w:tab w:val="right" w:leader="none" w:pos="9355"/>
              </w:tabs>
              <w:spacing w:after="0" w:afterAutospacing="0" w:line="276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Интенсивность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боли в целевом </w:t>
            </w:r>
            <w:r w:rsidDel="00000000" w:rsidR="00000000" w:rsidRPr="00000000">
              <w:rPr>
                <w:rtl w:val="0"/>
              </w:rPr>
              <w:t xml:space="preserve">коленном суставе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по визуально-аналоговой шкале </w:t>
            </w:r>
            <w:r w:rsidDel="00000000" w:rsidR="00000000" w:rsidRPr="00000000">
              <w:rPr>
                <w:rtl w:val="0"/>
              </w:rPr>
              <w:t xml:space="preserve">(ВАШ, 0-100 мм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после ходьбы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20 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находится в диапазоне от </w:t>
            </w:r>
            <w:r w:rsidDel="00000000" w:rsidR="00000000" w:rsidRPr="00000000">
              <w:rPr>
                <w:rtl w:val="0"/>
              </w:rPr>
              <w:t xml:space="preserve">40 до 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мм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2"/>
              </w:numPr>
              <w:tabs>
                <w:tab w:val="center" w:leader="none" w:pos="4677"/>
                <w:tab w:val="right" w:leader="none" w:pos="9355"/>
              </w:tabs>
              <w:spacing w:after="0" w:afterAutospacing="0" w:line="276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Повышение интенсивности бол</w:t>
            </w:r>
            <w:r w:rsidDel="00000000" w:rsidR="00000000" w:rsidRPr="00000000">
              <w:rPr>
                <w:rtl w:val="0"/>
              </w:rPr>
              <w:t xml:space="preserve">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ВАШ (0-100 мм) после ходьбы на 20 м более, чем на 20 мм</w:t>
            </w:r>
            <w:r w:rsidDel="00000000" w:rsidR="00000000" w:rsidRPr="00000000">
              <w:rPr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2"/>
              </w:numPr>
              <w:tabs>
                <w:tab w:val="center" w:leader="none" w:pos="4677"/>
                <w:tab w:val="right" w:leader="none" w:pos="9355"/>
              </w:tabs>
              <w:spacing w:after="0" w:afterAutospacing="0" w:line="276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Способность понять предоставленную информацию о клиническом исследовании, готовность к соблюдению требований протокола исследования, способность самостоятельно применять препараты исследования и оценивать симптомы с помощью визуально-аналоговой шкалы (ВАШ) и других опросников по протоколу.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2"/>
              </w:numPr>
              <w:tabs>
                <w:tab w:val="center" w:leader="none" w:pos="4677"/>
                <w:tab w:val="right" w:leader="none" w:pos="9355"/>
              </w:tabs>
              <w:spacing w:after="0" w:afterAutospacing="0" w:line="276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Температура тела, измеренная в подмышечной впадине, менее 37,5 °С.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2"/>
              </w:numPr>
              <w:tabs>
                <w:tab w:val="center" w:leader="none" w:pos="4677"/>
                <w:tab w:val="right" w:leader="none" w:pos="9355"/>
              </w:tabs>
              <w:spacing w:after="0" w:afterAutospacing="0" w:line="276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 женщин, способных к деторождению, на скрининге должен быть получен отрицательный результат теста на беременность (кроме женщин после хирургической стерилизации или с длительностью периода менопаузы более 2 лет), и должны использовать установленную форму контрацепции в течение по крайней мере 3 месяцев до начала приема исследуемого препарата, в ходе исследования, и в течение 1 месяца после завершения исследования. 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2"/>
              </w:numPr>
              <w:tabs>
                <w:tab w:val="center" w:leader="none" w:pos="4677"/>
                <w:tab w:val="right" w:leader="none" w:pos="9355"/>
              </w:tabs>
              <w:spacing w:after="120" w:line="276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Мужчины в течение всего периода участия в исследовании, с момента подписания информированного согласия и до конца исследования, а также в течение 30 дней после его окончания, должны соблюдать с партнёршей адекватный метод контрацепции.</w:t>
            </w:r>
            <w:r w:rsidDel="00000000" w:rsidR="00000000" w:rsidRPr="00000000">
              <w:rPr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невключения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Пациенты, имеющие хотя бы один критерий, представленный ниже, не будут включены в исследование: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Прием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НПВС или ацетаминофена в течение </w:t>
            </w:r>
            <w:r w:rsidDel="00000000" w:rsidR="00000000" w:rsidRPr="00000000">
              <w:rPr>
                <w:rtl w:val="0"/>
              </w:rPr>
              <w:t xml:space="preserve">&lt;2 недель до начала исследования и/или невозможность отмены приема НПВС в ходе исследования.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Невозможность отмены всех любого из препаратов, назначенных для лечения остеоартрита.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Оценка интенсивности боли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контралатеральном коленном суставе по шкале ВАШ (0</w:t>
            </w:r>
            <w:r w:rsidDel="00000000" w:rsidR="00000000" w:rsidRPr="00000000">
              <w:rPr>
                <w:rtl w:val="0"/>
              </w:rPr>
              <w:t xml:space="preserve">-100 мм)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после ходьбы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20 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более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30 мм.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Пациенты с ИМТ более 38 кг/м^2.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Пациенты с симптомами нестабильности мениска.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Пациенты с выраженной варусной или вальгусной деформацией;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Пациенты, перенесшие тяжелое повреждение целевого колена или операцию на целевом колене за 12 месяцев до начала исследования;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Пациенты с любым из следующих состояний или их комбинацией: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другие воспалительные артропатии за &lt;6 месяцев до начала исследования;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1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подагра в течение 6 месяцев до начала исследования;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1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некроз кости;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1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фибромиалгия;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бурсит;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нейрогенная или сосудистая хромота;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1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инфекция коленного сустава за 6 месяцев до начала исследования;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1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инфекция или кожное заболевание в области коленного сустава за 6 месяцев до начала исследования;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1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лечение онкологического заболевания за 2 года до начала исследования;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Пациенты, участвовавшие в клинических испытаниях в течение 6 месяцев до начала исследования.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Пациенты с иррадиирующей болью;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Наличие инфекций и/или кожных заболеваний в области применения препарата;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Применение кортикостероидов в течение 3 месяцев до начала исследования;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Терапия опиоидными препаратами за 90 дней до начала исследования.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Сопутствующие воспалительные или другие ревматологические, неврологические и сердечно-сосудистые заболевания, которые могут повлиять на оценку боли.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Пациенты, перенесшие хирургическую операцию в течение 30 дней до Визита скрининга и пациенты, у которых в ходе исследования (до завершения Визита последующего наблюдения) планируется проведение хирургических операций, включая диагностические процедуры, или пребывание в стационаре;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Известная или подозреваемая наркотическая/алкогольная зависимость;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Беременные и/или кормящие женщины;</w:t>
            </w:r>
          </w:p>
          <w:p w:rsidR="00000000" w:rsidDel="00000000" w:rsidP="00000000" w:rsidRDefault="00000000" w:rsidRPr="00000000" w14:paraId="000000F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276" w:lineRule="auto"/>
              <w:ind w:left="50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Критерии исключения</w:t>
            </w:r>
          </w:p>
        </w:tc>
        <w:tc>
          <w:tcPr>
            <w:tcBorders>
              <w:bottom w:color="ff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Участие пациента в исследовании может быть прекращено преждевременно по следующим причинам: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Отрицательная динамика заболевания с признаками ухудшения остеоартрита коленного сустава (в том числе повышение интенсивности боли в покое).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Этический комитет, регуляторные инстанции или Спонсор по любым причинам прекращают исследование или участие в исследовании данного клинического центра;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Исследователем принято решение, что пациента необходимо исключить в интересах самого пациента; 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Отзыв информированного согласия (нежелание пациента продолжать участие в исследовании);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Серьезное отклонение от протокола исследования;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Индивидуальная непереносимость препаратов исследования;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У пациента возникло </w:t>
            </w:r>
            <w:sdt>
              <w:sdtPr>
                <w:id w:val="1195904561"/>
                <w:tag w:val="goog_rdk_10"/>
              </w:sdtPr>
              <w:sdtContent>
                <w:commentRangeStart w:id="9"/>
              </w:sdtContent>
            </w:sdt>
            <w:r w:rsidDel="00000000" w:rsidR="00000000" w:rsidRPr="00000000">
              <w:rPr>
                <w:rtl w:val="0"/>
              </w:rPr>
              <w:t xml:space="preserve">клинически значимое нежелательное явление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  <w:t xml:space="preserve"> или серьезное нежелательное явление;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Пациент не соблюдает правила участия в исследовании;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Ошибочное включение (например, пациент был включен с нарушением критериев включения/невключения протокола);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Пациент получает/нуждается в дополнительном лечении, которое может повлиять на результат исследования или безопасность пациента;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Соответствие пациента критериям невключения во время проведения исследования;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Иные состояния или события, требующие, по мнению врача-исследователя, исключения пациента из исследования.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right w:color="ff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Статистическое обоснование количества субъектов в исследовании</w:t>
            </w:r>
          </w:p>
          <w:p w:rsidR="00000000" w:rsidDel="00000000" w:rsidP="00000000" w:rsidRDefault="00000000" w:rsidRPr="00000000" w14:paraId="0000010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4" w:val="single"/>
              <w:left w:color="ff0000" w:space="0" w:sz="4" w:val="single"/>
              <w:bottom w:color="ff0000" w:space="0" w:sz="4" w:val="single"/>
              <w:right w:color="ff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Статистической целью настоящего исследования является доказательство не меньшей эффективности. </w:t>
            </w:r>
          </w:p>
          <w:p w:rsidR="00000000" w:rsidDel="00000000" w:rsidP="00000000" w:rsidRDefault="00000000" w:rsidRPr="00000000" w14:paraId="0000010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оценки не меньшей эффективности препаратов предполагается использование </w:t>
            </w:r>
            <w:r w:rsidDel="00000000" w:rsidR="00000000" w:rsidRPr="00000000">
              <w:rPr>
                <w:rtl w:val="0"/>
              </w:rPr>
              <w:t xml:space="preserve">t-test для независимых выборок.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качестве исходных параметров были взяты следующие значения: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Было принято априорное предположение о равной эффективности сравниваемых препаратов, т.е.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pict>
                <v:shape id="_x0000_i1025" style="width:27.5pt;height:14pt" o:ole="" type="#_x0000_t75">
                  <v:imagedata r:id="rId1" o:title=""/>
                </v:shape>
                <o:OLEObject DrawAspect="Content" r:id="rId2" ObjectID="_1735192414" ProgID="Equation.DSMT4" ShapeID="_x0000_i1025" Type="Embed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Границ</w:t>
            </w:r>
            <w:r w:rsidDel="00000000" w:rsidR="00000000" w:rsidRPr="00000000">
              <w:rPr>
                <w:rtl w:val="0"/>
              </w:rPr>
              <w:t xml:space="preserve">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не меньшей эффективности установлена поло</w:t>
            </w:r>
            <w:r w:rsidDel="00000000" w:rsidR="00000000" w:rsidRPr="00000000">
              <w:rPr>
                <w:rtl w:val="0"/>
              </w:rPr>
              <w:t xml:space="preserve">вина минимального клинически значимого изменения по ВАШ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13/2=-</w:t>
            </w:r>
            <w:r w:rsidDel="00000000" w:rsidR="00000000" w:rsidRPr="00000000">
              <w:rPr>
                <w:rtl w:val="0"/>
              </w:rPr>
              <w:t xml:space="preserve">6.5 мм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[2]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Из данных </w:t>
            </w:r>
            <w:sdt>
              <w:sdtPr>
                <w:id w:val="-1677647058"/>
                <w:tag w:val="goog_rdk_11"/>
              </w:sdtPr>
              <w:sdtContent>
                <w:commentRangeStart w:id="10"/>
              </w:sdtContent>
            </w:sdt>
            <w:r w:rsidDel="00000000" w:rsidR="00000000" w:rsidRPr="00000000">
              <w:rPr>
                <w:rtl w:val="0"/>
              </w:rPr>
              <w:t xml:space="preserve">Askari, 2019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  <w:t xml:space="preserve"> [3] стандартное отклонение для снижения по шкале ВАШ вне зависимости от возраста и группы (T/R) составляет приблизительно </w:t>
            </w:r>
            <w:r w:rsidDel="00000000" w:rsidR="00000000" w:rsidRPr="00000000">
              <w:rPr>
                <w:color w:val="474747"/>
                <w:highlight w:val="white"/>
                <w:rtl w:val="0"/>
              </w:rPr>
              <w:t xml:space="preserve">σ = 8.35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Вероятность ошибки I рода: </w:t>
            </w:r>
            <w:r w:rsidDel="00000000" w:rsidR="00000000" w:rsidRPr="00000000">
              <w:rPr>
                <w:rtl w:val="0"/>
              </w:rPr>
              <w:t xml:space="preserve">0.025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мощность: 80%.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Основная статистическая гипотеза при использовании одностороннего ДИ:</w:t>
            </w:r>
          </w:p>
          <w:p w:rsidR="00000000" w:rsidDel="00000000" w:rsidP="00000000" w:rsidRDefault="00000000" w:rsidRPr="00000000" w14:paraId="00000110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𝐻0 : μ𝑇 − μ𝑅 ≤ δ</w:t>
            </w:r>
          </w:p>
          <w:p w:rsidR="00000000" w:rsidDel="00000000" w:rsidP="00000000" w:rsidRDefault="00000000" w:rsidRPr="00000000" w14:paraId="00000111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𝐻𝑎: μ𝑇 − μ𝑅</w:t>
            </w:r>
            <w:sdt>
              <w:sdtPr>
                <w:id w:val="-1338990848"/>
                <w:tag w:val="goog_rdk_12"/>
              </w:sdtPr>
              <w:sdtContent>
                <w:commentRangeStart w:id="11"/>
              </w:sdtContent>
            </w:sdt>
            <w:r w:rsidDel="00000000" w:rsidR="00000000" w:rsidRPr="00000000">
              <w:rPr>
                <w:rtl w:val="0"/>
              </w:rPr>
              <w:t xml:space="preserve"> &gt; δ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Была использована стандартная формула для оценки объема выборки из работы [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n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n</m:t>
                  </m:r>
                </m:e>
                <m:sub>
                  <m:r>
                    <w:rPr/>
                    <m:t xml:space="preserve">2</m:t>
                  </m:r>
                </m:sub>
              </m:sSub>
              <m:r>
                <w:rPr/>
                <m:t xml:space="preserve">=2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(</m:t>
                  </m:r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z</m:t>
                      </m:r>
                    </m:e>
                    <m:sub>
                      <m:r>
                        <w:rPr/>
                        <m:t>α</m:t>
                      </m:r>
                    </m:sub>
                  </m:sSub>
                  <m:r>
                    <w:rPr/>
                    <m:t xml:space="preserve">+</m:t>
                  </m:r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z</m:t>
                      </m:r>
                    </m:e>
                    <m:sub>
                      <m:r>
                        <w:rPr/>
                        <m:t>β</m:t>
                      </m:r>
                    </m:sub>
                  </m:sSub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)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>σ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>δ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den>
              </m:f>
              <m:r>
                <w:rPr/>
                <m:t xml:space="preserve">=26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Здесь:</w:t>
            </w:r>
          </w:p>
          <w:p w:rsidR="00000000" w:rsidDel="00000000" w:rsidP="00000000" w:rsidRDefault="00000000" w:rsidRPr="00000000" w14:paraId="0000011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 количества пациентов в 1 и 2 группах;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pict>
                <v:shape id="_x0000_i1030" style="width:13pt;height:17.5pt" o:ole="" type="#_x0000_t75">
                  <v:imagedata r:id="rId11" o:title=""/>
                </v:shape>
                <o:OLEObject DrawAspect="Content" r:id="rId12" ObjectID="_1735192419" ProgID="Equation.DSMT4" ShapeID="_x0000_i1030" Type="Embed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pict>
                <v:shape id="_x0000_i1031" style="width:13pt;height:19.5pt" o:ole="" type="#_x0000_t75">
                  <v:imagedata r:id="rId13" o:title=""/>
                </v:shape>
                <o:OLEObject DrawAspect="Content" r:id="rId14" ObjectID="_1735192420" ProgID="Equation.DSMT4" ShapeID="_x0000_i1031" Type="Embed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– квантили стандартного нормального распределения.</w:t>
              <w:tab/>
              <w:t xml:space="preserve">При расчете по формуле было использовано округление вверх до ближайшего целого.</w:t>
            </w:r>
          </w:p>
          <w:p w:rsidR="00000000" w:rsidDel="00000000" w:rsidP="00000000" w:rsidRDefault="00000000" w:rsidRPr="00000000" w14:paraId="00000117">
            <w:pPr>
              <w:spacing w:line="276" w:lineRule="auto"/>
              <w:ind w:firstLine="70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Таким образом, получено, что минимально необходимый объем выборки для проведения исследования равен </w:t>
            </w:r>
            <w:r w:rsidDel="00000000" w:rsidR="00000000" w:rsidRPr="00000000">
              <w:rPr>
                <w:rtl w:val="0"/>
              </w:rPr>
              <w:t xml:space="preserve">52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(по </w:t>
            </w:r>
            <w:sdt>
              <w:sdtPr>
                <w:id w:val="-413125827"/>
                <w:tag w:val="goog_rdk_13"/>
              </w:sdtPr>
              <w:sdtContent>
                <w:commentRangeStart w:id="12"/>
              </w:sdtContent>
            </w:sdt>
            <w:r w:rsidDel="00000000" w:rsidR="00000000" w:rsidRPr="00000000">
              <w:rPr>
                <w:rtl w:val="0"/>
              </w:rPr>
              <w:t xml:space="preserve">26</w:t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пациент</w:t>
            </w:r>
            <w:r w:rsidDel="00000000" w:rsidR="00000000" w:rsidRPr="00000000">
              <w:rPr>
                <w:rtl w:val="0"/>
              </w:rPr>
              <w:t xml:space="preserve">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 каждую группу). С учетом 10% выбыва</w:t>
            </w:r>
            <w:r w:rsidDel="00000000" w:rsidR="00000000" w:rsidRPr="00000000">
              <w:rPr>
                <w:rtl w:val="0"/>
              </w:rPr>
              <w:t xml:space="preserve">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объем выборки составит </w:t>
            </w:r>
            <w:r w:rsidDel="00000000" w:rsidR="00000000" w:rsidRPr="00000000">
              <w:rPr>
                <w:rtl w:val="0"/>
              </w:rPr>
              <w:t xml:space="preserve">58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пациент</w:t>
            </w:r>
            <w:r w:rsidDel="00000000" w:rsidR="00000000" w:rsidRPr="00000000">
              <w:rPr>
                <w:rtl w:val="0"/>
              </w:rPr>
              <w:t xml:space="preserve">ов (по 29 пациентов в каждую группу)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8">
            <w:pPr>
              <w:spacing w:line="276" w:lineRule="auto"/>
              <w:ind w:firstLine="70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Список литературы, использованной для статистического обоснования количества субъектов в исследовании:</w:t>
            </w:r>
          </w:p>
          <w:p w:rsidR="00000000" w:rsidDel="00000000" w:rsidP="00000000" w:rsidRDefault="00000000" w:rsidRPr="00000000" w14:paraId="0000011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ind w:left="58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5"/>
              </w:numPr>
              <w:ind w:left="585" w:hanging="495"/>
              <w:jc w:val="left"/>
            </w:pPr>
            <w:r w:rsidDel="00000000" w:rsidR="00000000" w:rsidRPr="00000000">
              <w:rPr>
                <w:rtl w:val="0"/>
              </w:rPr>
              <w:t xml:space="preserve">Julious SA. Sample sizes for clinical trials with Normal data. Statist. Med. 2004; 23:1921-1986.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5"/>
              </w:numPr>
              <w:ind w:left="585" w:hanging="495"/>
              <w:jc w:val="left"/>
            </w:pPr>
            <w:r w:rsidDel="00000000" w:rsidR="00000000" w:rsidRPr="00000000">
              <w:rPr>
                <w:rtl w:val="0"/>
              </w:rPr>
              <w:t xml:space="preserve">Gallagher EJ, Liebman M, Bijur PE. Prospective validation of clinically important changes in pain severity measured on a visual analog scale. Ann Emerg Med. 2001 Dec;38(6):633-8. doi: 10.1067/mem.2001.118863. PMID: 11719741.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5"/>
              </w:numPr>
              <w:ind w:left="585" w:hanging="495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Alireza Askari, Seyed Ali Ravansalar, Mohammad Mehdi Naghizadeh, Seyed Hamdollah Mosavat, Mahmood Khodadoost, Arezoo Moini Jazani, Mohammad Hashem Hashempur, The efficacy of topical sesame oil in patients with knee osteoarthritis: A randomized double-blinded active-controlled non-inferiority clinical trial, Complementary Therapies in Medicine, Volume 47, 2019, 102183, ISSN 0965-2299,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https://doi.org/10.1016/j.ctim.2019.08.017</w:t>
              </w:r>
            </w:hyperlink>
            <w:r w:rsidDel="00000000" w:rsidR="00000000" w:rsidRPr="00000000">
              <w:rPr>
                <w:rtl w:val="0"/>
              </w:rPr>
              <w:t xml:space="preserve">. (https://www.sciencedirect.com/science/article/pii/S0965229919307162)</w:t>
            </w:r>
          </w:p>
          <w:p w:rsidR="00000000" w:rsidDel="00000000" w:rsidP="00000000" w:rsidRDefault="00000000" w:rsidRPr="00000000" w14:paraId="0000011F">
            <w:pPr>
              <w:spacing w:line="276" w:lineRule="auto"/>
              <w:ind w:left="585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Ольга Потанина" w:id="12" w:date="2026-01-18T11:16:30Z"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Рассчитано верно</w:t>
      </w:r>
    </w:p>
  </w:comment>
  <w:comment w:author="Ольга Потанина" w:id="3" w:date="2026-01-18T11:55:28Z"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Безопасность обычно оценивается в популяции безопасности</w:t>
      </w:r>
    </w:p>
  </w:comment>
  <w:comment w:author="Ольга Потанина" w:id="11" w:date="2026-01-18T11:48:24Z"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некритично, но я бы где-нибудь ещё раз уточнила, что изменение боли по ВАШ - это ВАШ(визит 1) - ВАШ(визит 3) или 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ВАШ(визит 3) - ВАШ(визит 1) ) * -1,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подчеркнуть особенность, что при работающем препарате ожидается ПОЛОЖИТЕЛЬНОЕ изменение,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то часто с этим путаница</w:t>
      </w:r>
    </w:p>
  </w:comment>
  <w:comment w:author="Ольга Потанина" w:id="6" w:date="2026-01-18T09:51:26Z"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включена в осн. показатели жизнедеятельности</w:t>
      </w:r>
    </w:p>
  </w:comment>
  <w:comment w:author="Ольга Потанина" w:id="9" w:date="2026-01-18T10:47:00Z"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Любое НЯ - это клинически значимое событие, исключать при любом НЯ - сомнительный план</w:t>
      </w:r>
    </w:p>
  </w:comment>
  <w:comment w:author="Eugene Bakin" w:id="2" w:date="2026-01-18T01:34:18Z"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тут лишнее</w:t>
      </w:r>
    </w:p>
  </w:comment>
  <w:comment w:author="Eugene Bakin" w:id="1" w:date="2026-01-18T01:33:07Z"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протяжении какого срока?</w:t>
      </w:r>
    </w:p>
  </w:comment>
  <w:comment w:author="Eugene Bakin" w:id="0" w:date="2026-01-18T01:32:52Z"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Минимально достаточное - больше, чем то, которое планируется включить?</w:t>
      </w:r>
    </w:p>
  </w:comment>
  <w:comment w:author="Ольга Потанина" w:id="7" w:date="2026-01-18T10:36:30Z"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оценки безопасности кажется необходимым повторение клин. анализа крови на Визите 3</w:t>
      </w:r>
    </w:p>
  </w:comment>
  <w:comment w:author="Ольга Потанина" w:id="8" w:date="2026-01-18T10:38:56Z"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цели также говорится о планировании оценки уменьшения скованности, а также изменения физической функции, но среди ВКТ этого нет</w:t>
      </w:r>
    </w:p>
  </w:comment>
  <w:comment w:author="Eugene Bakin" w:id="4" w:date="2026-01-18T01:37:30Z"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Этот раздел должен сильнее перекликаться с описанием ПКТ и ВКТ ниже</w:t>
      </w:r>
    </w:p>
  </w:comment>
  <w:comment w:author="Eugene Bakin" w:id="5" w:date="2026-01-18T01:36:03Z"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просто "терапевтической эффективности"</w:t>
      </w:r>
    </w:p>
  </w:comment>
  <w:comment w:author="Ольга Потанина" w:id="10" w:date="2026-01-18T11:34:58Z"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в этом исследовании нет Траумеля, там кунжутное масло и диклофенак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21" w15:done="0"/>
  <w15:commentEx w15:paraId="00000122" w15:done="0"/>
  <w15:commentEx w15:paraId="00000126" w15:done="0"/>
  <w15:commentEx w15:paraId="00000127" w15:done="0"/>
  <w15:commentEx w15:paraId="00000128" w15:done="0"/>
  <w15:commentEx w15:paraId="00000129" w15:done="0"/>
  <w15:commentEx w15:paraId="0000012A" w15:done="0"/>
  <w15:commentEx w15:paraId="0000012B" w15:done="0"/>
  <w15:commentEx w15:paraId="0000012C" w15:done="0"/>
  <w15:commentEx w15:paraId="0000012D" w15:done="0"/>
  <w15:commentEx w15:paraId="0000012E" w15:done="0"/>
  <w15:commentEx w15:paraId="0000012F" w15:done="0"/>
  <w15:commentEx w15:paraId="0000013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Arial"/>
  <w:font w:name="Courier New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585" w:hanging="495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170" w:hanging="360"/>
      </w:pPr>
      <w:rPr/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850.3937007874017" w:hanging="425.19685039370125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05" w:hanging="28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567"/>
        <w:tab w:val="left" w:leader="none" w:pos="992"/>
      </w:tabs>
      <w:spacing w:before="480" w:line="360" w:lineRule="auto"/>
      <w:ind w:left="1423" w:hanging="430.99999999999994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993"/>
      </w:tabs>
      <w:spacing w:before="360" w:line="360" w:lineRule="auto"/>
      <w:ind w:left="576" w:hanging="576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Rule="auto"/>
      <w:ind w:left="720" w:hanging="720"/>
      <w:jc w:val="both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120" w:line="259" w:lineRule="auto"/>
      <w:ind w:left="864" w:hanging="864"/>
    </w:pPr>
    <w:rPr>
      <w:rFonts w:ascii="Times New Roman" w:cs="Times New Roman" w:eastAsia="Times New Roman" w:hAnsi="Times New Roman"/>
      <w:b w:val="1"/>
      <w:bCs w:val="1"/>
      <w:i w:val="1"/>
      <w:i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before="120" w:lineRule="auto"/>
      <w:ind w:left="1008" w:hanging="1008"/>
      <w:jc w:val="both"/>
    </w:pPr>
    <w:rPr>
      <w:rFonts w:ascii="Times New Roman" w:cs="Times New Roman" w:eastAsia="Times New Roman" w:hAnsi="Times New Roman"/>
      <w:i w:val="1"/>
      <w:iCs w:val="1"/>
      <w:color w:val="000000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  <w:ind w:left="1152" w:hanging="1152"/>
    </w:pPr>
    <w:rPr>
      <w:rFonts w:ascii="Calibri" w:cs="Calibri" w:eastAsia="Calibri" w:hAnsi="Calibri"/>
      <w:color w:val="1f3863"/>
      <w:sz w:val="24"/>
      <w:szCs w:val="24"/>
    </w:rPr>
  </w:style>
  <w:style w:type="paragraph" w:styleId="Title">
    <w:name w:val="Title"/>
    <w:basedOn w:val="Normal"/>
    <w:next w:val="Normal"/>
    <w:pPr>
      <w:spacing w:after="360" w:before="360" w:line="240" w:lineRule="auto"/>
      <w:jc w:val="center"/>
    </w:pPr>
    <w:rPr>
      <w:rFonts w:ascii="Times New Roman" w:cs="Times New Roman" w:eastAsia="Times New Roman" w:hAnsi="Times New Roman"/>
      <w:b w:val="1"/>
      <w:bCs w:val="1"/>
      <w:smallCaps w:val="1"/>
      <w:sz w:val="32"/>
      <w:szCs w:val="32"/>
    </w:rPr>
  </w:style>
  <w:style w:type="paragraph" w:styleId="7">
    <w:name w:val="heading 7"/>
    <w:basedOn w:val="a1"/>
    <w:next w:val="a1"/>
    <w:link w:val="70"/>
    <w:uiPriority w:val="9"/>
    <w:unhideWhenUsed w:val="1"/>
    <w:qFormat w:val="1"/>
    <w:rsid w:val="00F55835"/>
    <w:pPr>
      <w:keepNext w:val="1"/>
      <w:keepLines w:val="1"/>
      <w:spacing w:after="0" w:before="40" w:line="259" w:lineRule="auto"/>
      <w:ind w:left="1296" w:hanging="1296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  <w:sz w:val="24"/>
    </w:rPr>
  </w:style>
  <w:style w:type="paragraph" w:styleId="8">
    <w:name w:val="heading 8"/>
    <w:basedOn w:val="a1"/>
    <w:next w:val="a1"/>
    <w:link w:val="80"/>
    <w:uiPriority w:val="9"/>
    <w:unhideWhenUsed w:val="1"/>
    <w:qFormat w:val="1"/>
    <w:rsid w:val="00F55835"/>
    <w:pPr>
      <w:keepNext w:val="1"/>
      <w:keepLines w:val="1"/>
      <w:spacing w:after="0" w:before="40" w:line="259" w:lineRule="auto"/>
      <w:ind w:left="1440" w:hanging="14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9">
    <w:name w:val="heading 9"/>
    <w:basedOn w:val="a1"/>
    <w:next w:val="a1"/>
    <w:link w:val="90"/>
    <w:uiPriority w:val="9"/>
    <w:unhideWhenUsed w:val="1"/>
    <w:qFormat w:val="1"/>
    <w:rsid w:val="00F55835"/>
    <w:pPr>
      <w:keepNext w:val="1"/>
      <w:keepLines w:val="1"/>
      <w:spacing w:after="0" w:before="40" w:line="259" w:lineRule="auto"/>
      <w:ind w:left="1584" w:hanging="1584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character" w:styleId="21" w:customStyle="1">
    <w:name w:val="Заголовок 2 Знак"/>
    <w:aliases w:val="Heading 2 Char1 Знак,Heading 2 Char Char Знак,Heading 2 Char1 Char Знак,Heading 2 Char Char Char Знак,Heading 2 Char Char1 Знак,Heading 2 Char1 Char1 Char Знак,Heading 2 Char Char Char1 Char Знак"/>
    <w:basedOn w:val="a2"/>
    <w:link w:val="20"/>
    <w:uiPriority w:val="9"/>
    <w:rsid w:val="009F07F9"/>
    <w:rPr>
      <w:rFonts w:cs="Times New Roman" w:eastAsiaTheme="majorEastAsia"/>
      <w:b w:val="1"/>
      <w:bCs w:val="1"/>
    </w:rPr>
  </w:style>
  <w:style w:type="character" w:styleId="10" w:customStyle="1">
    <w:name w:val="Заголовок 1 Знак"/>
    <w:link w:val="1"/>
    <w:uiPriority w:val="9"/>
    <w:qFormat w:val="1"/>
    <w:rsid w:val="009F07F9"/>
    <w:rPr>
      <w:rFonts w:cs="Times New Roman" w:eastAsia="Times New Roman"/>
      <w:b w:val="1"/>
      <w:bCs w:val="1"/>
      <w:color w:val="000000"/>
      <w:sz w:val="28"/>
      <w:szCs w:val="28"/>
    </w:rPr>
  </w:style>
  <w:style w:type="table" w:styleId="a5">
    <w:name w:val="Table Grid"/>
    <w:basedOn w:val="a3"/>
    <w:uiPriority w:val="39"/>
    <w:rsid w:val="005F0832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6">
    <w:name w:val="footer"/>
    <w:basedOn w:val="a1"/>
    <w:link w:val="a7"/>
    <w:uiPriority w:val="99"/>
    <w:unhideWhenUsed w:val="1"/>
    <w:rsid w:val="005B5181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</w:rPr>
  </w:style>
  <w:style w:type="character" w:styleId="a7" w:customStyle="1">
    <w:name w:val="Нижний колонтитул Знак"/>
    <w:basedOn w:val="a2"/>
    <w:link w:val="a6"/>
    <w:uiPriority w:val="99"/>
    <w:rsid w:val="005B5181"/>
    <w:rPr>
      <w:rFonts w:ascii="Times New Roman" w:hAnsi="Times New Roman"/>
      <w:sz w:val="24"/>
    </w:rPr>
  </w:style>
  <w:style w:type="paragraph" w:styleId="a8">
    <w:name w:val="List Paragraph"/>
    <w:basedOn w:val="a1"/>
    <w:link w:val="a9"/>
    <w:uiPriority w:val="34"/>
    <w:qFormat w:val="1"/>
    <w:rsid w:val="005B5181"/>
    <w:pPr>
      <w:suppressAutoHyphens w:val="1"/>
      <w:autoSpaceDN w:val="0"/>
      <w:spacing w:after="0"/>
      <w:jc w:val="both"/>
      <w:textAlignment w:val="baseline"/>
    </w:pPr>
    <w:rPr>
      <w:rFonts w:ascii="Times New Roman" w:cs="Times New Roman" w:eastAsia="Calibri" w:hAnsi="Times New Roman"/>
      <w:kern w:val="3"/>
      <w:sz w:val="24"/>
      <w:szCs w:val="20"/>
      <w:lang w:val="en-US"/>
    </w:rPr>
  </w:style>
  <w:style w:type="character" w:styleId="a9" w:customStyle="1">
    <w:name w:val="Абзац списка Знак"/>
    <w:link w:val="a8"/>
    <w:uiPriority w:val="34"/>
    <w:rsid w:val="005B5181"/>
    <w:rPr>
      <w:rFonts w:ascii="Times New Roman" w:cs="Times New Roman" w:eastAsia="Calibri" w:hAnsi="Times New Roman"/>
      <w:kern w:val="3"/>
      <w:sz w:val="24"/>
      <w:szCs w:val="20"/>
      <w:lang w:val="en-US"/>
    </w:rPr>
  </w:style>
  <w:style w:type="paragraph" w:styleId="SDText" w:customStyle="1">
    <w:name w:val="SD_Text"/>
    <w:basedOn w:val="a1"/>
    <w:link w:val="SDText0"/>
    <w:qFormat w:val="1"/>
    <w:rsid w:val="005B5181"/>
    <w:pPr>
      <w:spacing w:after="0"/>
      <w:jc w:val="both"/>
    </w:pPr>
    <w:rPr>
      <w:rFonts w:ascii="Times New Roman" w:cs="Times New Roman" w:eastAsia="Times New Roman" w:hAnsi="Times New Roman"/>
      <w:color w:val="000000"/>
      <w:sz w:val="24"/>
      <w:szCs w:val="28"/>
      <w:lang w:eastAsia="ru-RU"/>
    </w:rPr>
  </w:style>
  <w:style w:type="character" w:styleId="SDText0" w:customStyle="1">
    <w:name w:val="SD_Text Знак"/>
    <w:basedOn w:val="10"/>
    <w:link w:val="SDText"/>
    <w:rsid w:val="005B5181"/>
    <w:rPr>
      <w:rFonts w:ascii="Times New Roman" w:cs="Times New Roman" w:eastAsia="Times New Roman" w:hAnsi="Times New Roman"/>
      <w:b w:val="0"/>
      <w:bCs w:val="0"/>
      <w:color w:val="000000"/>
      <w:sz w:val="24"/>
      <w:szCs w:val="28"/>
      <w:lang w:eastAsia="ru-RU"/>
    </w:rPr>
  </w:style>
  <w:style w:type="paragraph" w:styleId="Standard" w:customStyle="1">
    <w:name w:val="Standard"/>
    <w:rsid w:val="005B5181"/>
    <w:pPr>
      <w:suppressAutoHyphens w:val="1"/>
      <w:autoSpaceDN w:val="0"/>
      <w:spacing w:after="0" w:line="240" w:lineRule="auto"/>
      <w:jc w:val="both"/>
      <w:textAlignment w:val="baseline"/>
    </w:pPr>
    <w:rPr>
      <w:rFonts w:ascii="Arial" w:cs="Times New Roman" w:eastAsia="Calibri" w:hAnsi="Arial"/>
      <w:kern w:val="3"/>
      <w:szCs w:val="20"/>
      <w:lang w:val="en-US"/>
    </w:rPr>
  </w:style>
  <w:style w:type="paragraph" w:styleId="a">
    <w:name w:val="List Number"/>
    <w:basedOn w:val="a1"/>
    <w:uiPriority w:val="2"/>
    <w:qFormat w:val="1"/>
    <w:rsid w:val="00F55835"/>
    <w:pPr>
      <w:numPr>
        <w:numId w:val="10"/>
      </w:numPr>
      <w:tabs>
        <w:tab w:val="clear" w:pos="360"/>
      </w:tabs>
      <w:spacing w:after="120" w:line="240" w:lineRule="auto"/>
      <w:jc w:val="both"/>
    </w:pPr>
    <w:rPr>
      <w:rFonts w:ascii="Times New Roman" w:cs="Times New Roman" w:eastAsia="Times New Roman" w:hAnsi="Times New Roman"/>
      <w:sz w:val="28"/>
    </w:rPr>
  </w:style>
  <w:style w:type="paragraph" w:styleId="2">
    <w:name w:val="List Bullet 2"/>
    <w:basedOn w:val="a1"/>
    <w:uiPriority w:val="39"/>
    <w:rsid w:val="00F55835"/>
    <w:pPr>
      <w:numPr>
        <w:numId w:val="11"/>
      </w:numPr>
      <w:spacing w:after="120" w:line="240" w:lineRule="auto"/>
      <w:jc w:val="both"/>
    </w:pPr>
    <w:rPr>
      <w:rFonts w:ascii="Times New Roman" w:cs="Times New Roman" w:eastAsia="Times New Roman" w:hAnsi="Times New Roman"/>
      <w:sz w:val="28"/>
    </w:rPr>
  </w:style>
  <w:style w:type="character" w:styleId="30" w:customStyle="1">
    <w:name w:val="Заголовок 3 Знак"/>
    <w:aliases w:val="Heading 3 Char1 Знак,Heading 3 Char Char Знак,Heading 3 Char1 Char Char Знак,Heading 3 Char Char Char Char Знак,Heading 3 Char1 Char Char Char Char Знак,Heading 3 Char Char Char Char Char Char Знак,Heading 3 Char1 Char1 Char Знак"/>
    <w:basedOn w:val="a2"/>
    <w:link w:val="3"/>
    <w:uiPriority w:val="9"/>
    <w:rsid w:val="00F55835"/>
    <w:rPr>
      <w:rFonts w:ascii="Times New Roman" w:hAnsi="Times New Roman" w:cstheme="majorBidi" w:eastAsiaTheme="majorEastAsia"/>
      <w:b w:val="1"/>
      <w:color w:val="000000" w:themeColor="text1"/>
      <w:sz w:val="28"/>
      <w:szCs w:val="24"/>
      <w:lang w:eastAsia="ru-RU"/>
    </w:rPr>
  </w:style>
  <w:style w:type="character" w:styleId="40" w:customStyle="1">
    <w:name w:val="Заголовок 4 Знак"/>
    <w:basedOn w:val="a2"/>
    <w:link w:val="4"/>
    <w:uiPriority w:val="9"/>
    <w:rsid w:val="00F55835"/>
    <w:rPr>
      <w:rFonts w:ascii="Times New Roman" w:hAnsi="Times New Roman" w:cstheme="majorBidi" w:eastAsiaTheme="majorEastAsia"/>
      <w:b w:val="1"/>
      <w:i w:val="1"/>
      <w:iCs w:val="1"/>
      <w:color w:val="000000" w:themeColor="text1"/>
      <w:sz w:val="24"/>
    </w:rPr>
  </w:style>
  <w:style w:type="character" w:styleId="50" w:customStyle="1">
    <w:name w:val="Заголовок 5 Знак"/>
    <w:basedOn w:val="a2"/>
    <w:link w:val="5"/>
    <w:uiPriority w:val="9"/>
    <w:rsid w:val="00F55835"/>
    <w:rPr>
      <w:rFonts w:ascii="Times New Roman" w:eastAsia="Times New Roman" w:hAnsi="Times New Roman" w:cstheme="majorBidi"/>
      <w:i w:val="1"/>
      <w:color w:val="000000" w:themeColor="text1"/>
      <w:sz w:val="24"/>
      <w:lang w:eastAsia="ru-RU"/>
    </w:rPr>
  </w:style>
  <w:style w:type="character" w:styleId="60" w:customStyle="1">
    <w:name w:val="Заголовок 6 Знак"/>
    <w:basedOn w:val="a2"/>
    <w:link w:val="6"/>
    <w:uiPriority w:val="9"/>
    <w:rsid w:val="00F55835"/>
    <w:rPr>
      <w:rFonts w:asciiTheme="majorHAnsi" w:cstheme="majorBidi" w:eastAsiaTheme="majorEastAsia" w:hAnsiTheme="majorHAnsi"/>
      <w:color w:val="1f3763" w:themeColor="accent1" w:themeShade="00007F"/>
      <w:sz w:val="24"/>
    </w:rPr>
  </w:style>
  <w:style w:type="character" w:styleId="70" w:customStyle="1">
    <w:name w:val="Заголовок 7 Знак"/>
    <w:basedOn w:val="a2"/>
    <w:link w:val="7"/>
    <w:uiPriority w:val="9"/>
    <w:rsid w:val="00F55835"/>
    <w:rPr>
      <w:rFonts w:asciiTheme="majorHAnsi" w:cstheme="majorBidi" w:eastAsiaTheme="majorEastAsia" w:hAnsiTheme="majorHAnsi"/>
      <w:i w:val="1"/>
      <w:iCs w:val="1"/>
      <w:color w:val="1f3763" w:themeColor="accent1" w:themeShade="00007F"/>
      <w:sz w:val="24"/>
    </w:rPr>
  </w:style>
  <w:style w:type="character" w:styleId="80" w:customStyle="1">
    <w:name w:val="Заголовок 8 Знак"/>
    <w:basedOn w:val="a2"/>
    <w:link w:val="8"/>
    <w:uiPriority w:val="9"/>
    <w:rsid w:val="00F55835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90" w:customStyle="1">
    <w:name w:val="Заголовок 9 Знак"/>
    <w:basedOn w:val="a2"/>
    <w:link w:val="9"/>
    <w:uiPriority w:val="9"/>
    <w:rsid w:val="00F55835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Dpicture" w:customStyle="1">
    <w:name w:val="SD_picture"/>
    <w:basedOn w:val="SDText"/>
    <w:qFormat w:val="1"/>
    <w:rsid w:val="00F55835"/>
    <w:rPr>
      <w:rFonts w:cstheme="minorBidi" w:eastAsiaTheme="minorHAnsi"/>
      <w:i w:val="1"/>
      <w:color w:val="auto"/>
      <w:szCs w:val="22"/>
    </w:rPr>
  </w:style>
  <w:style w:type="paragraph" w:styleId="a0">
    <w:name w:val="List Bullet"/>
    <w:basedOn w:val="a1"/>
    <w:uiPriority w:val="99"/>
    <w:unhideWhenUsed w:val="1"/>
    <w:rsid w:val="00A07B8C"/>
    <w:pPr>
      <w:numPr>
        <w:numId w:val="17"/>
      </w:numPr>
      <w:contextualSpacing w:val="1"/>
    </w:pPr>
  </w:style>
  <w:style w:type="character" w:styleId="aa">
    <w:name w:val="Strong"/>
    <w:basedOn w:val="a2"/>
    <w:uiPriority w:val="22"/>
    <w:qFormat w:val="1"/>
    <w:rsid w:val="003D32F1"/>
    <w:rPr>
      <w:b w:val="1"/>
      <w:bCs w:val="1"/>
      <w:lang w:val="ru-RU"/>
    </w:rPr>
  </w:style>
  <w:style w:type="character" w:styleId="ac" w:customStyle="1">
    <w:name w:val="Название Знак"/>
    <w:basedOn w:val="a2"/>
    <w:link w:val="ab"/>
    <w:uiPriority w:val="10"/>
    <w:rsid w:val="003D32F1"/>
    <w:rPr>
      <w:rFonts w:ascii="Times New Roman" w:hAnsi="Times New Roman" w:cstheme="majorBidi" w:eastAsiaTheme="majorEastAsia"/>
      <w:b w:val="1"/>
      <w:caps w:val="1"/>
      <w:kern w:val="28"/>
      <w:sz w:val="32"/>
      <w:szCs w:val="56"/>
    </w:rPr>
  </w:style>
  <w:style w:type="character" w:styleId="ad">
    <w:name w:val="annotation reference"/>
    <w:basedOn w:val="a2"/>
    <w:uiPriority w:val="99"/>
    <w:semiHidden w:val="1"/>
    <w:unhideWhenUsed w:val="1"/>
    <w:rsid w:val="002546B1"/>
    <w:rPr>
      <w:sz w:val="16"/>
      <w:szCs w:val="16"/>
    </w:rPr>
  </w:style>
  <w:style w:type="paragraph" w:styleId="ae">
    <w:name w:val="annotation text"/>
    <w:basedOn w:val="a1"/>
    <w:link w:val="af"/>
    <w:uiPriority w:val="99"/>
    <w:semiHidden w:val="1"/>
    <w:unhideWhenUsed w:val="1"/>
    <w:rsid w:val="002546B1"/>
    <w:pPr>
      <w:spacing w:line="240" w:lineRule="auto"/>
    </w:pPr>
    <w:rPr>
      <w:sz w:val="20"/>
      <w:szCs w:val="20"/>
    </w:rPr>
  </w:style>
  <w:style w:type="character" w:styleId="af" w:customStyle="1">
    <w:name w:val="Текст примечания Знак"/>
    <w:basedOn w:val="a2"/>
    <w:link w:val="ae"/>
    <w:uiPriority w:val="99"/>
    <w:semiHidden w:val="1"/>
    <w:rsid w:val="002546B1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 w:val="1"/>
    <w:unhideWhenUsed w:val="1"/>
    <w:rsid w:val="002546B1"/>
    <w:rPr>
      <w:b w:val="1"/>
      <w:bCs w:val="1"/>
    </w:rPr>
  </w:style>
  <w:style w:type="character" w:styleId="af1" w:customStyle="1">
    <w:name w:val="Тема примечания Знак"/>
    <w:basedOn w:val="af"/>
    <w:link w:val="af0"/>
    <w:uiPriority w:val="99"/>
    <w:semiHidden w:val="1"/>
    <w:rsid w:val="002546B1"/>
    <w:rPr>
      <w:b w:val="1"/>
      <w:bCs w:val="1"/>
      <w:sz w:val="20"/>
      <w:szCs w:val="20"/>
    </w:rPr>
  </w:style>
  <w:style w:type="paragraph" w:styleId="af2">
    <w:name w:val="Balloon Text"/>
    <w:basedOn w:val="a1"/>
    <w:link w:val="af3"/>
    <w:uiPriority w:val="99"/>
    <w:semiHidden w:val="1"/>
    <w:unhideWhenUsed w:val="1"/>
    <w:rsid w:val="002546B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f3" w:customStyle="1">
    <w:name w:val="Текст выноски Знак"/>
    <w:basedOn w:val="a2"/>
    <w:link w:val="af2"/>
    <w:uiPriority w:val="99"/>
    <w:semiHidden w:val="1"/>
    <w:rsid w:val="002546B1"/>
    <w:rPr>
      <w:rFonts w:ascii="Segoe UI" w:cs="Segoe UI" w:hAnsi="Segoe UI"/>
      <w:sz w:val="18"/>
      <w:szCs w:val="18"/>
    </w:rPr>
  </w:style>
  <w:style w:type="paragraph" w:styleId="af4">
    <w:name w:val="footnote text"/>
    <w:basedOn w:val="a1"/>
    <w:link w:val="af5"/>
    <w:uiPriority w:val="99"/>
    <w:semiHidden w:val="1"/>
    <w:unhideWhenUsed w:val="1"/>
    <w:rsid w:val="005D50CA"/>
    <w:pPr>
      <w:spacing w:after="0" w:line="240" w:lineRule="auto"/>
    </w:pPr>
    <w:rPr>
      <w:sz w:val="20"/>
      <w:szCs w:val="20"/>
    </w:rPr>
  </w:style>
  <w:style w:type="character" w:styleId="af5" w:customStyle="1">
    <w:name w:val="Текст сноски Знак"/>
    <w:basedOn w:val="a2"/>
    <w:link w:val="af4"/>
    <w:uiPriority w:val="99"/>
    <w:semiHidden w:val="1"/>
    <w:rsid w:val="005D50CA"/>
    <w:rPr>
      <w:sz w:val="20"/>
      <w:szCs w:val="20"/>
    </w:rPr>
  </w:style>
  <w:style w:type="character" w:styleId="af6">
    <w:name w:val="footnote reference"/>
    <w:basedOn w:val="a2"/>
    <w:uiPriority w:val="99"/>
    <w:semiHidden w:val="1"/>
    <w:unhideWhenUsed w:val="1"/>
    <w:rsid w:val="005D50CA"/>
    <w:rPr>
      <w:vertAlign w:val="superscript"/>
    </w:rPr>
  </w:style>
  <w:style w:type="paragraph" w:styleId="af7">
    <w:name w:val="Revision"/>
    <w:hidden w:val="1"/>
    <w:uiPriority w:val="99"/>
    <w:semiHidden w:val="1"/>
    <w:rsid w:val="00C76003"/>
    <w:pPr>
      <w:spacing w:after="0" w:line="240" w:lineRule="auto"/>
    </w:pPr>
  </w:style>
  <w:style w:type="paragraph" w:styleId="af8">
    <w:name w:val="header"/>
    <w:basedOn w:val="a1"/>
    <w:link w:val="af9"/>
    <w:uiPriority w:val="99"/>
    <w:unhideWhenUsed w:val="1"/>
    <w:rsid w:val="006A4D59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</w:rPr>
  </w:style>
  <w:style w:type="character" w:styleId="af9" w:customStyle="1">
    <w:name w:val="Верхний колонтитул Знак"/>
    <w:basedOn w:val="a2"/>
    <w:link w:val="af8"/>
    <w:uiPriority w:val="99"/>
    <w:rsid w:val="006A4D59"/>
    <w:rPr>
      <w:rFonts w:ascii="Times New Roman" w:hAnsi="Times New Roman"/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wmf"/><Relationship Id="rId10" Type="http://schemas.microsoft.com/office/2011/relationships/commentsExtended" Target="commentsExtended.xml"/><Relationship Id="rId13" Type="http://schemas.openxmlformats.org/officeDocument/2006/relationships/image" Target="media/image1.wmf"/><Relationship Id="rId12" Type="http://schemas.openxmlformats.org/officeDocument/2006/relationships/oleObject" Target="embeddings/oleObject2.bin"/><Relationship Id="rId1" Type="http://schemas.openxmlformats.org/officeDocument/2006/relationships/image" Target="media/image3.wmf"/><Relationship Id="rId2" Type="http://schemas.openxmlformats.org/officeDocument/2006/relationships/oleObject" Target="embeddings/oleObject3.bin"/><Relationship Id="rId3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openxmlformats.org/officeDocument/2006/relationships/customXml" Target="../customXML/item1.xml"/><Relationship Id="rId15" Type="http://schemas.openxmlformats.org/officeDocument/2006/relationships/hyperlink" Target="https://doi.org/10.1016/j.ctim.2019.08.017" TargetMode="External"/><Relationship Id="rId14" Type="http://schemas.openxmlformats.org/officeDocument/2006/relationships/oleObject" Target="embeddings/oleObject1.bin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7brJMzcNYxweA6D84WRqTn649w==">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2023-01-13T11:40:00Z</dcterms:created>
  <dc:creator>Александр Бураков</dc:creator>
</cp:coreProperties>
</file>