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01Title"/>
        <w:rPr/>
      </w:pPr>
      <w:r>
        <w:rPr/>
        <w:t>Deep Learning End-to-End Automatic Speech Recognition for Spanish in Gong</w:t>
      </w:r>
    </w:p>
    <w:p>
      <w:pPr>
        <w:pStyle w:val="02Author"/>
        <w:rPr/>
      </w:pPr>
      <w:r>
        <w:rPr/>
      </w:r>
    </w:p>
    <w:p>
      <w:pPr>
        <w:pStyle w:val="06AbstractBody"/>
        <w:rPr>
          <w:rFonts w:cs="Times New Roman"/>
          <w:b/>
          <w:b/>
        </w:rPr>
      </w:pPr>
      <w:r>
        <w:rPr/>
      </w:r>
    </w:p>
    <w:p>
      <w:pPr>
        <w:pStyle w:val="06AbstractBody"/>
        <w:rPr/>
      </w:pPr>
      <w:r>
        <w:rPr>
          <w:rFonts w:cs="Times New Roman"/>
          <w:b/>
        </w:rPr>
        <w:t>Abstract:</w:t>
      </w:r>
      <w:r>
        <w:rPr/>
        <w:t xml:space="preserve"> </w:t>
      </w:r>
      <w:r>
        <w:rPr/>
        <w:t xml:space="preserve">E2E ASR approach greatly simplifies the pipeline for building ASR systems. Transformer based models architectures that accepts acoustic-features into Encoder and produce language-tokens by Decoder have a great potential to become SOTA models for ASR task. We applied this architecture to Spanish language based on publicly available datasets and Gong’s Spanish dataset. Studied the achievable performance in terms of WER and inference time, and tuned the model for Gong data. </w:t>
      </w:r>
    </w:p>
    <w:p>
      <w:pPr>
        <w:pStyle w:val="06AbstractBody"/>
        <w:rPr>
          <w:color w:val="2F2FB1"/>
        </w:rPr>
      </w:pPr>
      <w:r>
        <w:rPr/>
      </w:r>
    </w:p>
    <w:p>
      <w:pPr>
        <w:pStyle w:val="08SectionHeader11"/>
        <w:numPr>
          <w:ilvl w:val="0"/>
          <w:numId w:val="3"/>
        </w:numPr>
        <w:rPr/>
      </w:pPr>
      <w:r>
        <w:rPr/>
        <w:t>Introduction</w:t>
      </w:r>
    </w:p>
    <w:p>
      <w:pPr>
        <w:pStyle w:val="09BodyFirstParagraph"/>
        <w:rPr/>
      </w:pPr>
      <w:r>
        <w:rPr/>
      </w:r>
    </w:p>
    <w:p>
      <w:pPr>
        <w:pStyle w:val="09BodyFirstParagraph"/>
        <w:rPr/>
      </w:pPr>
      <w:r>
        <w:rPr/>
        <w:t>ASR – define the task</w:t>
      </w:r>
    </w:p>
    <w:p>
      <w:pPr>
        <w:pStyle w:val="09BodyFirstParagraph"/>
        <w:rPr/>
      </w:pPr>
      <w:r>
        <w:rPr/>
        <w:t xml:space="preserve">Metrics: WER and Inference-time  </w:t>
      </w:r>
    </w:p>
    <w:p>
      <w:pPr>
        <w:pStyle w:val="09BodyFirstParagraph"/>
        <w:rPr/>
      </w:pPr>
      <w:r>
        <w:rPr/>
        <w:t>Manual Approaches</w:t>
      </w:r>
    </w:p>
    <w:p>
      <w:pPr>
        <w:pStyle w:val="09BodyFirstParagraph"/>
        <w:rPr/>
      </w:pPr>
      <w:r>
        <w:rPr/>
        <w:t>Available Automatic Approaches</w:t>
      </w:r>
    </w:p>
    <w:p>
      <w:pPr>
        <w:pStyle w:val="09BodyFirstParagraph"/>
        <w:rPr/>
      </w:pPr>
      <w:r>
        <w:rPr/>
        <w:t>Data Sources</w:t>
      </w:r>
    </w:p>
    <w:p>
      <w:pPr>
        <w:pStyle w:val="09BodyFirstParagraph"/>
        <w:rPr/>
      </w:pPr>
      <w:r>
        <w:rPr/>
        <w:t xml:space="preserve">Automatic Speech Recognition (ASR, aka Speech-to-Text), is historically comprised of two parts – an Acoustic Model, mapping speech to phonemes, and a Language Model, mapping phonemes to words. </w:t>
      </w:r>
    </w:p>
    <w:p>
      <w:pPr>
        <w:pStyle w:val="09BodyFirstParagraph"/>
        <w:rPr/>
      </w:pPr>
      <w:r>
        <w:rPr/>
        <w:t>“</w:t>
      </w:r>
      <w:r>
        <w:rPr/>
        <w:t>However, current systems lean heavily on the scaffolding of complicated legacy architectures  that grew up around traditional techniques, including hidden Markov models (HMMs), Gaussian mixture models (GMMs), hybrid HMM/deep neural network (DNN) systems, and sequence discriminative training methods [2]. These systems also require hand-made pronunciation dictionaries based on linguistic assumptions, extra training steps to derive context-dependent phonetic models, and text preprocessing such as tokenization for languages without explicit word boundaries. Consequently, it is quite difficult for non-experts to develop ASR systems for new applications, especially for new languages”</w:t>
      </w:r>
    </w:p>
    <w:p>
      <w:pPr>
        <w:pStyle w:val="09BodyFirstParagraph"/>
        <w:rPr/>
      </w:pPr>
      <w:r>
        <w:rPr/>
        <w:t>“</w:t>
      </w:r>
      <w:r>
        <w:rPr/>
        <w:t>There are several types of endto-end architecture for ASR such as connectionist temporal classification (CTC) [3], recurrent neural network (RNN) transducer [4], attention-based encoder decoder [5], and their hybrid models”</w:t>
      </w:r>
    </w:p>
    <w:p>
      <w:pPr>
        <w:pStyle w:val="09BodyFirstParagraph"/>
        <w:rPr/>
      </w:pPr>
      <w:r>
        <w:rPr/>
        <w:t xml:space="preserve">While in the fields of Computer Vision and NLP, deep learning models outperform other approaches by large margins, in the field of ASR the vast majority of commercial systems don’t use deep learning. In recent years, there have been reports on success in applying end-to-end (e2e) deep learning architectures to transcribe speech. E2E DL platforms hold the promise of better adaptation to accents or new languages, making the use of phonetic lexicons obsolete. </w:t>
      </w:r>
      <w:r>
        <w:rPr/>
        <w:t>P</w:t>
      </w:r>
      <w:r>
        <w:rPr/>
        <w:t xml:space="preserve">romising directions are Nvidia’s Jasper, Facebook’s Wav2Letter, </w:t>
      </w:r>
      <w:r>
        <w:rPr/>
        <w:t>Mazzila’s DeepSpeach and ESPnet</w:t>
      </w:r>
      <w:r>
        <w:rPr/>
        <w:t>.</w:t>
      </w:r>
    </w:p>
    <w:p>
      <w:pPr>
        <w:pStyle w:val="09BodyFirstParagraph"/>
        <w:rPr/>
      </w:pPr>
      <w:r>
        <w:rPr/>
        <w:t xml:space="preserve">Related works </w:t>
      </w:r>
    </w:p>
    <w:p>
      <w:pPr>
        <w:pStyle w:val="09BodyFirstParagraph"/>
        <w:rPr/>
      </w:pPr>
      <w:r>
        <w:rPr/>
        <w:t xml:space="preserve">Transformer based Sequence-to-Sequence models </w:t>
      </w:r>
      <w:r>
        <w:rPr/>
        <w:t>showed “surprising superiority” in multiple  ASR benchmarks in comparison with RNN”</w:t>
      </w:r>
      <w:r>
        <w:rPr/>
        <w:t xml:space="preserve">(see ref 2. “A COMPARATIVE STUDY ON TRANSFORMER VS RNN IN SPEECH APPLICATIONS”, S. Karita et al. </w:t>
      </w:r>
      <w:r>
        <w:rPr/>
        <w:t>2019</w:t>
      </w:r>
      <w:r>
        <w:rPr/>
        <w:t xml:space="preserve">). </w:t>
      </w:r>
      <w:r>
        <w:rPr/>
        <w:t>The authors of this paper created a kaldi-stile reproducible recipes for Open Source toolkit ESPnet. We based our experiments on this toolkit.</w:t>
      </w:r>
    </w:p>
    <w:p>
      <w:pPr>
        <w:pStyle w:val="09BodyFirstParagraph"/>
        <w:rPr/>
      </w:pPr>
      <w:r>
        <w:rPr/>
      </w:r>
    </w:p>
    <w:p>
      <w:pPr>
        <w:pStyle w:val="09BodyFirstParagraph"/>
        <w:rPr/>
      </w:pPr>
      <w:r>
        <w:rPr/>
        <w:t>“</w:t>
      </w:r>
      <w:r>
        <w:rPr/>
        <w:t>One of the major difficulties when applying Transformer to speech applications is that it requires more complex configurations(e.g., optimizer, network structure, data augmentation) than the conventional RNN based models”</w:t>
      </w:r>
    </w:p>
    <w:p>
      <w:pPr>
        <w:pStyle w:val="09BodyFirstParagraph"/>
        <w:rPr/>
      </w:pPr>
      <w:r>
        <w:rPr/>
      </w:r>
    </w:p>
    <w:p>
      <w:pPr>
        <w:pStyle w:val="09BodyFirstParagraph"/>
        <w:rPr/>
      </w:pPr>
      <w:r>
        <w:rPr/>
        <w:t>The contributions of this work are …</w:t>
      </w:r>
    </w:p>
    <w:p>
      <w:pPr>
        <w:pStyle w:val="09BodyFirstParagraph"/>
        <w:numPr>
          <w:ilvl w:val="0"/>
          <w:numId w:val="4"/>
        </w:numPr>
        <w:rPr/>
      </w:pPr>
      <w:r>
        <w:rPr/>
        <w:t>We conducted a large scale comparative study of model performance on publicly available Spanish Datasets</w:t>
      </w:r>
    </w:p>
    <w:p>
      <w:pPr>
        <w:pStyle w:val="09BodyFirstParagraph"/>
        <w:numPr>
          <w:ilvl w:val="0"/>
          <w:numId w:val="4"/>
        </w:numPr>
        <w:rPr/>
      </w:pPr>
      <w:r>
        <w:rPr/>
        <w:t xml:space="preserve">We  performed hyperparameters search for each dataset </w:t>
      </w:r>
      <w:r>
        <w:rPr/>
        <w:t xml:space="preserve">(see [“Training Tips for the Transformer Model”, </w:t>
      </w:r>
      <w:r>
        <w:rPr/>
        <w:t>M. Popel et al.</w:t>
      </w:r>
      <w:r>
        <w:rPr/>
        <w:t>])</w:t>
      </w:r>
    </w:p>
    <w:p>
      <w:pPr>
        <w:pStyle w:val="09BodyFirstParagraph"/>
        <w:numPr>
          <w:ilvl w:val="0"/>
          <w:numId w:val="4"/>
        </w:numPr>
        <w:rPr/>
      </w:pPr>
      <w:r>
        <w:rPr/>
        <w:t>We developed reproducible pipeline for experiments and following productization</w:t>
      </w:r>
    </w:p>
    <w:p>
      <w:pPr>
        <w:pStyle w:val="09BodyFirstParagraph"/>
        <w:numPr>
          <w:ilvl w:val="0"/>
          <w:numId w:val="4"/>
        </w:numPr>
        <w:rPr/>
      </w:pPr>
      <w:r>
        <w:rPr/>
        <w:t>We tuned the model for Gong’s dataset</w:t>
      </w:r>
    </w:p>
    <w:p>
      <w:pPr>
        <w:pStyle w:val="09BodyFirstParagraph"/>
        <w:rPr/>
      </w:pPr>
      <w:r>
        <w:rPr/>
      </w:r>
    </w:p>
    <w:p>
      <w:pPr>
        <w:pStyle w:val="09BodyFirstParagraph"/>
        <w:rPr>
          <w:color w:val="182F7C"/>
        </w:rPr>
      </w:pPr>
      <w:r>
        <w:rPr>
          <w:color w:val="182F7C"/>
        </w:rPr>
      </w:r>
    </w:p>
    <w:p>
      <w:pPr>
        <w:pStyle w:val="08SectionHeader1"/>
        <w:numPr>
          <w:ilvl w:val="0"/>
          <w:numId w:val="3"/>
        </w:numPr>
        <w:rPr/>
      </w:pPr>
      <w:r>
        <w:rPr/>
        <w:t>ASR E2E Sequence to Sequence Pipeline</w:t>
      </w:r>
    </w:p>
    <w:p>
      <w:pPr>
        <w:pStyle w:val="09BodyFirstParagraph"/>
        <w:rPr/>
      </w:pPr>
      <w:r>
        <w:rPr/>
        <w:t>We use ESPnet framework and their implementation of Hybrid CTC/attention based ASR</w:t>
      </w:r>
    </w:p>
    <w:p>
      <w:pPr>
        <w:pStyle w:val="09BodyFirstParagraph"/>
        <w:rPr/>
      </w:pPr>
      <w:r>
        <w:rPr/>
        <w:t xml:space="preserve">[======================= from </w:t>
      </w:r>
      <w:r>
        <w:fldChar w:fldCharType="begin"/>
      </w:r>
      <w:r>
        <w:rPr>
          <w:rStyle w:val="InternetLink"/>
        </w:rPr>
        <w:instrText> HYPERLINK "https://github.com/espnet/espnet" \l "asr-results"</w:instrText>
      </w:r>
      <w:r>
        <w:rPr>
          <w:rStyle w:val="InternetLink"/>
        </w:rPr>
        <w:fldChar w:fldCharType="separate"/>
      </w:r>
      <w:r>
        <w:rPr>
          <w:rStyle w:val="InternetLink"/>
        </w:rPr>
        <w:t>https://github.com/espnet/espnet#asr-results</w:t>
      </w:r>
      <w:r>
        <w:rPr>
          <w:rStyle w:val="InternetLink"/>
        </w:rPr>
        <w:fldChar w:fldCharType="end"/>
      </w:r>
    </w:p>
    <w:p>
      <w:pPr>
        <w:pStyle w:val="TextBody"/>
        <w:rPr>
          <w:rFonts w:ascii="Times new roman" w:hAnsi="Times new roman"/>
          <w:sz w:val="20"/>
          <w:szCs w:val="20"/>
        </w:rPr>
      </w:pPr>
      <w:r>
        <w:rPr>
          <w:rFonts w:ascii="Times new roman" w:hAnsi="Times new roman"/>
          <w:sz w:val="20"/>
          <w:szCs w:val="20"/>
        </w:rPr>
        <w:t>ASR: Automatic Speech Recognition</w:t>
      </w:r>
    </w:p>
    <w:p>
      <w:pPr>
        <w:pStyle w:val="TextBody"/>
        <w:numPr>
          <w:ilvl w:val="0"/>
          <w:numId w:val="5"/>
        </w:numPr>
        <w:tabs>
          <w:tab w:val="left" w:pos="0" w:leader="none"/>
        </w:tabs>
        <w:ind w:left="707" w:hanging="0"/>
        <w:rPr/>
      </w:pPr>
      <w:r>
        <w:rPr>
          <w:rStyle w:val="StrongEmphasis"/>
          <w:rFonts w:ascii="Times new roman" w:hAnsi="Times new roman"/>
          <w:b/>
          <w:i w:val="false"/>
          <w:caps w:val="false"/>
          <w:smallCaps w:val="false"/>
          <w:color w:val="24292E"/>
          <w:spacing w:val="0"/>
          <w:sz w:val="20"/>
          <w:szCs w:val="20"/>
        </w:rPr>
        <w:t xml:space="preserve">State-of-the-art performance </w:t>
      </w:r>
      <w:r>
        <w:rPr>
          <w:rFonts w:ascii="Times new roman" w:hAnsi="Times new roman"/>
          <w:b w:val="false"/>
          <w:i w:val="false"/>
          <w:caps w:val="false"/>
          <w:smallCaps w:val="false"/>
          <w:color w:val="24292E"/>
          <w:spacing w:val="0"/>
          <w:sz w:val="20"/>
          <w:szCs w:val="20"/>
        </w:rPr>
        <w:t>in several ASR benchmarks (comparable/superior to hybrid DNN/HMM and CTC)</w:t>
      </w:r>
    </w:p>
    <w:p>
      <w:pPr>
        <w:pStyle w:val="TextBody"/>
        <w:numPr>
          <w:ilvl w:val="0"/>
          <w:numId w:val="5"/>
        </w:numPr>
        <w:tabs>
          <w:tab w:val="left" w:pos="0" w:leader="none"/>
        </w:tabs>
        <w:ind w:left="707" w:hanging="0"/>
        <w:rPr/>
      </w:pPr>
      <w:r>
        <w:rPr>
          <w:rStyle w:val="StrongEmphasis"/>
          <w:rFonts w:ascii="Times new roman" w:hAnsi="Times new roman"/>
          <w:b/>
          <w:i w:val="false"/>
          <w:caps w:val="false"/>
          <w:smallCaps w:val="false"/>
          <w:color w:val="24292E"/>
          <w:spacing w:val="0"/>
          <w:sz w:val="20"/>
          <w:szCs w:val="20"/>
        </w:rPr>
        <w:t xml:space="preserve">Hybrid CTC/attention </w:t>
      </w:r>
      <w:r>
        <w:rPr>
          <w:rFonts w:ascii="Times new roman" w:hAnsi="Times new roman"/>
          <w:b w:val="false"/>
          <w:i w:val="false"/>
          <w:caps w:val="false"/>
          <w:smallCaps w:val="false"/>
          <w:color w:val="24292E"/>
          <w:spacing w:val="0"/>
          <w:sz w:val="20"/>
          <w:szCs w:val="20"/>
        </w:rPr>
        <w:t>based end-to-end ASR</w:t>
      </w:r>
    </w:p>
    <w:p>
      <w:pPr>
        <w:pStyle w:val="TextBody"/>
        <w:numPr>
          <w:ilvl w:val="1"/>
          <w:numId w:val="5"/>
        </w:numPr>
        <w:tabs>
          <w:tab w:val="left" w:pos="0" w:leader="none"/>
        </w:tabs>
        <w:ind w:left="1414" w:hanging="0"/>
        <w:rPr>
          <w:rFonts w:ascii="Times new roman" w:hAnsi="Times new roman"/>
          <w:sz w:val="20"/>
          <w:szCs w:val="20"/>
        </w:rPr>
      </w:pPr>
      <w:r>
        <w:rPr>
          <w:rFonts w:ascii="Times new roman" w:hAnsi="Times new roman"/>
          <w:sz w:val="20"/>
          <w:szCs w:val="20"/>
        </w:rPr>
        <w:t>Fast/accurate training with CTC/attention multitask training</w:t>
      </w:r>
    </w:p>
    <w:p>
      <w:pPr>
        <w:pStyle w:val="TextBody"/>
        <w:numPr>
          <w:ilvl w:val="1"/>
          <w:numId w:val="5"/>
        </w:numPr>
        <w:tabs>
          <w:tab w:val="left" w:pos="0" w:leader="none"/>
        </w:tabs>
        <w:ind w:left="1414" w:hanging="0"/>
        <w:rPr>
          <w:rFonts w:ascii="Times new roman" w:hAnsi="Times new roman"/>
          <w:sz w:val="20"/>
          <w:szCs w:val="20"/>
        </w:rPr>
      </w:pPr>
      <w:r>
        <w:rPr>
          <w:rFonts w:ascii="Times new roman" w:hAnsi="Times new roman"/>
          <w:sz w:val="20"/>
          <w:szCs w:val="20"/>
        </w:rPr>
        <w:t>CTC/attention joint decoding to boost monotonic alignment decoding</w:t>
      </w:r>
    </w:p>
    <w:p>
      <w:pPr>
        <w:pStyle w:val="TextBody"/>
        <w:numPr>
          <w:ilvl w:val="1"/>
          <w:numId w:val="5"/>
        </w:numPr>
        <w:tabs>
          <w:tab w:val="left" w:pos="0" w:leader="none"/>
        </w:tabs>
        <w:ind w:left="1414" w:hanging="0"/>
        <w:rPr>
          <w:rFonts w:ascii="Times new roman" w:hAnsi="Times new roman"/>
          <w:sz w:val="20"/>
          <w:szCs w:val="20"/>
        </w:rPr>
      </w:pPr>
      <w:r>
        <w:rPr>
          <w:rFonts w:ascii="Times new roman" w:hAnsi="Times new roman"/>
          <w:sz w:val="20"/>
          <w:szCs w:val="20"/>
        </w:rPr>
        <w:t>Encoder: VGG-like CNN + BiRNN (LSTM/GRU), sub-sampling BiRNN (LSTM/GRU) or Transformer</w:t>
      </w:r>
    </w:p>
    <w:p>
      <w:pPr>
        <w:pStyle w:val="TextBody"/>
        <w:numPr>
          <w:ilvl w:val="0"/>
          <w:numId w:val="5"/>
        </w:numPr>
        <w:tabs>
          <w:tab w:val="left" w:pos="0" w:leader="none"/>
        </w:tabs>
        <w:ind w:left="707" w:hanging="0"/>
        <w:rPr>
          <w:rFonts w:ascii="Times new roman" w:hAnsi="Times new roman"/>
          <w:sz w:val="20"/>
          <w:szCs w:val="20"/>
        </w:rPr>
      </w:pPr>
      <w:r>
        <w:rPr>
          <w:rFonts w:ascii="Times new roman" w:hAnsi="Times new roman"/>
          <w:sz w:val="20"/>
          <w:szCs w:val="20"/>
        </w:rPr>
        <w:t>Attention: Dot product, location-aware attention, variants of multihead</w:t>
      </w:r>
    </w:p>
    <w:p>
      <w:pPr>
        <w:pStyle w:val="TextBody"/>
        <w:numPr>
          <w:ilvl w:val="0"/>
          <w:numId w:val="5"/>
        </w:numPr>
        <w:tabs>
          <w:tab w:val="left" w:pos="0" w:leader="none"/>
        </w:tabs>
        <w:ind w:left="707" w:hanging="0"/>
        <w:rPr>
          <w:rFonts w:ascii="Times new roman" w:hAnsi="Times new roman"/>
          <w:sz w:val="20"/>
          <w:szCs w:val="20"/>
        </w:rPr>
      </w:pPr>
      <w:r>
        <w:rPr>
          <w:rFonts w:ascii="Times new roman" w:hAnsi="Times new roman"/>
          <w:sz w:val="20"/>
          <w:szCs w:val="20"/>
        </w:rPr>
        <w:t>Incorporate RNNLM/LSTMLM/TransformerLM/N-gram trained only with text data</w:t>
      </w:r>
    </w:p>
    <w:p>
      <w:pPr>
        <w:pStyle w:val="TextBody"/>
        <w:numPr>
          <w:ilvl w:val="0"/>
          <w:numId w:val="5"/>
        </w:numPr>
        <w:tabs>
          <w:tab w:val="left" w:pos="0" w:leader="none"/>
        </w:tabs>
        <w:ind w:left="707" w:hanging="0"/>
        <w:rPr>
          <w:rFonts w:ascii="Times new roman" w:hAnsi="Times new roman"/>
          <w:sz w:val="20"/>
          <w:szCs w:val="20"/>
        </w:rPr>
      </w:pPr>
      <w:r>
        <w:rPr>
          <w:rFonts w:ascii="Times new roman" w:hAnsi="Times new roman"/>
          <w:sz w:val="20"/>
          <w:szCs w:val="20"/>
        </w:rPr>
        <w:t>Batch GPU decoding</w:t>
      </w:r>
    </w:p>
    <w:p>
      <w:pPr>
        <w:pStyle w:val="TextBody"/>
        <w:numPr>
          <w:ilvl w:val="0"/>
          <w:numId w:val="5"/>
        </w:numPr>
        <w:tabs>
          <w:tab w:val="left" w:pos="0" w:leader="none"/>
        </w:tabs>
        <w:ind w:left="707" w:hanging="0"/>
        <w:rPr/>
      </w:pPr>
      <w:r>
        <w:rPr>
          <w:rStyle w:val="StrongEmphasis"/>
          <w:rFonts w:ascii="Times new roman" w:hAnsi="Times new roman"/>
          <w:b/>
          <w:i w:val="false"/>
          <w:caps w:val="false"/>
          <w:smallCaps w:val="false"/>
          <w:color w:val="24292E"/>
          <w:spacing w:val="0"/>
          <w:sz w:val="20"/>
          <w:szCs w:val="20"/>
        </w:rPr>
        <w:t xml:space="preserve">Transducer </w:t>
      </w:r>
      <w:r>
        <w:rPr>
          <w:rFonts w:ascii="Times new roman" w:hAnsi="Times new roman"/>
          <w:b w:val="false"/>
          <w:i w:val="false"/>
          <w:caps w:val="false"/>
          <w:smallCaps w:val="false"/>
          <w:color w:val="24292E"/>
          <w:spacing w:val="0"/>
          <w:sz w:val="20"/>
          <w:szCs w:val="20"/>
        </w:rPr>
        <w:t>based end-to-end ASR</w:t>
      </w:r>
    </w:p>
    <w:p>
      <w:pPr>
        <w:pStyle w:val="TextBody"/>
        <w:numPr>
          <w:ilvl w:val="1"/>
          <w:numId w:val="5"/>
        </w:numPr>
        <w:tabs>
          <w:tab w:val="left" w:pos="0" w:leader="none"/>
        </w:tabs>
        <w:ind w:left="1414" w:hanging="0"/>
        <w:rPr>
          <w:rFonts w:ascii="Times new roman" w:hAnsi="Times new roman"/>
          <w:sz w:val="20"/>
          <w:szCs w:val="20"/>
        </w:rPr>
      </w:pPr>
      <w:r>
        <w:rPr>
          <w:rFonts w:ascii="Times new roman" w:hAnsi="Times new roman"/>
          <w:sz w:val="20"/>
          <w:szCs w:val="20"/>
        </w:rPr>
        <w:t>Available: RNN-Transducer, Transformer-Transducer, mixed Transformer/RNN-Transducer</w:t>
      </w:r>
    </w:p>
    <w:p>
      <w:pPr>
        <w:pStyle w:val="TextBody"/>
        <w:numPr>
          <w:ilvl w:val="1"/>
          <w:numId w:val="5"/>
        </w:numPr>
        <w:tabs>
          <w:tab w:val="left" w:pos="0" w:leader="none"/>
        </w:tabs>
        <w:ind w:left="1414" w:hanging="0"/>
        <w:rPr>
          <w:rFonts w:ascii="Times new roman" w:hAnsi="Times new roman"/>
          <w:sz w:val="20"/>
          <w:szCs w:val="20"/>
        </w:rPr>
      </w:pPr>
      <w:r>
        <w:rPr>
          <w:rFonts w:ascii="Times new roman" w:hAnsi="Times new roman"/>
          <w:sz w:val="20"/>
          <w:szCs w:val="20"/>
        </w:rPr>
        <w:t>Also support: attention mechanism (RNN-decoder), pre-init w/ LM (RNN-decoder), VGG-Transformer (encoder)</w:t>
      </w:r>
    </w:p>
    <w:p>
      <w:pPr>
        <w:pStyle w:val="TextBody"/>
        <w:numPr>
          <w:ilvl w:val="0"/>
          <w:numId w:val="5"/>
        </w:numPr>
        <w:tabs>
          <w:tab w:val="left" w:pos="0" w:leader="none"/>
        </w:tabs>
        <w:ind w:left="707" w:hanging="0"/>
        <w:rPr>
          <w:rFonts w:ascii="Times new roman" w:hAnsi="Times new roman"/>
          <w:sz w:val="20"/>
          <w:szCs w:val="20"/>
        </w:rPr>
      </w:pPr>
      <w:r>
        <w:rPr>
          <w:rFonts w:ascii="Times new roman" w:hAnsi="Times new roman"/>
          <w:sz w:val="20"/>
          <w:szCs w:val="20"/>
        </w:rPr>
        <w:t>CTC forced alignment</w:t>
      </w:r>
    </w:p>
    <w:p>
      <w:pPr>
        <w:pStyle w:val="09BodyFirstParagraph"/>
        <w:rPr/>
      </w:pPr>
      <w:r>
        <w:rPr/>
        <w:t xml:space="preserve">============================ from </w:t>
      </w:r>
      <w:r>
        <w:fldChar w:fldCharType="begin"/>
      </w:r>
      <w:r>
        <w:rPr>
          <w:rStyle w:val="InternetLink"/>
        </w:rPr>
        <w:instrText> HYPERLINK "https://github.com/espnet/espnet" \l "asr-results"</w:instrText>
      </w:r>
      <w:r>
        <w:rPr>
          <w:rStyle w:val="InternetLink"/>
        </w:rPr>
        <w:fldChar w:fldCharType="separate"/>
      </w:r>
      <w:r>
        <w:rPr>
          <w:rStyle w:val="InternetLink"/>
        </w:rPr>
        <w:t>https://github.com/espnet/espnet#asr-results</w:t>
      </w:r>
      <w:r>
        <w:rPr>
          <w:rStyle w:val="InternetLink"/>
        </w:rPr>
        <w:fldChar w:fldCharType="end"/>
      </w:r>
    </w:p>
    <w:p>
      <w:pPr>
        <w:pStyle w:val="09BodyFirstParagraph"/>
        <w:rPr/>
      </w:pPr>
      <w:r>
        <w:rPr/>
      </w:r>
    </w:p>
    <w:p>
      <w:pPr>
        <w:pStyle w:val="09BodyFirstParagraph"/>
        <w:rPr/>
      </w:pPr>
      <w:r>
        <w:rPr/>
      </w:r>
    </w:p>
    <w:p>
      <w:pPr>
        <w:pStyle w:val="09BodyFirstParagraph"/>
        <w:rPr/>
      </w:pPr>
      <w:r>
        <w:rPr/>
        <w:t xml:space="preserve">S2S model consists of two neural networks: Encoder and Decoder </w:t>
      </w:r>
    </w:p>
    <w:p>
      <w:pPr>
        <w:pStyle w:val="09BodyFirstParagraph"/>
        <w:rPr/>
      </w:pPr>
      <w:r>
        <w:rPr/>
      </w:r>
    </w:p>
    <w:p>
      <w:pPr>
        <w:pStyle w:val="09BodyFirstParagraph"/>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3895725" cy="40767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895725" cy="4076700"/>
                    </a:xfrm>
                    <a:prstGeom prst="rect">
                      <a:avLst/>
                    </a:prstGeom>
                  </pic:spPr>
                </pic:pic>
              </a:graphicData>
            </a:graphic>
          </wp:anchor>
        </w:drawing>
      </w:r>
    </w:p>
    <w:p>
      <w:pPr>
        <w:pStyle w:val="12FigureCaptionShort"/>
        <w:numPr>
          <w:ilvl w:val="0"/>
          <w:numId w:val="0"/>
        </w:numPr>
        <w:ind w:left="2160" w:right="720" w:hanging="0"/>
        <w:jc w:val="center"/>
        <w:rPr/>
      </w:pPr>
      <w:r>
        <w:rPr/>
        <w:t>Fig. 1. Sequence to Sequence architecture in speech applications. TBD: redraw for ASR only</w:t>
      </w:r>
    </w:p>
    <w:p>
      <w:pPr>
        <w:pStyle w:val="09BodyFirstParagraph"/>
        <w:rPr/>
      </w:pPr>
      <w:r>
        <w:rPr/>
      </w:r>
    </w:p>
    <w:p>
      <w:pPr>
        <w:pStyle w:val="09BodyFirstParagraph"/>
        <w:rPr/>
      </w:pPr>
      <w:r>
        <w:rPr/>
        <w:t>Look at the Linear CTC block in the Encoder – this looks like it outputs the char-probabilities vectors per each time-frame. The question is how is it related to the intermediate sequence</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oMath>
      <w:r>
        <w:rPr/>
        <w:t xml:space="preserve">? “For ASR, an encoded sequence </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oMath>
      <w:r>
        <w:rPr/>
        <w:t xml:space="preserve"> can also be used for source-level frame-wise prediction using connectionist temporal classification (CTC)”</w:t>
      </w:r>
    </w:p>
    <w:p>
      <w:pPr>
        <w:pStyle w:val="09BodyFirstParagraph"/>
        <w:rPr/>
      </w:pPr>
      <w:r>
        <w:rPr/>
        <w:t>“</w:t>
      </w:r>
      <w:r>
        <w:rPr/>
        <w:t xml:space="preserve">That attention mechanism emits source frame-wise weights to sum the encoded source frames </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oMath>
      <w:r>
        <w:rPr/>
        <w:t xml:space="preserve"> as a target frame-wise vector to be transformed with the prefix </w:t>
      </w:r>
      <w:r>
        <w:rPr/>
      </w:r>
      <m:oMath xmlns:m="http://schemas.openxmlformats.org/officeDocument/2006/math">
        <m:sSub>
          <m:e>
            <m:r>
              <w:rPr>
                <w:rFonts w:ascii="Cambria Math" w:hAnsi="Cambria Math"/>
              </w:rPr>
              <m:t xml:space="preserve">Y</m:t>
            </m:r>
          </m:e>
          <m:sub>
            <m:r>
              <w:rPr>
                <w:rFonts w:ascii="Cambria Math" w:hAnsi="Cambria Math"/>
              </w:rPr>
              <m:t xml:space="preserve">0</m:t>
            </m:r>
          </m:sub>
        </m:sSub>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e>
        </m:d>
      </m:oMath>
      <w:r>
        <w:rPr/>
        <w:t>. We refer to this type of attention as “encoder-decoder attention”.”</w:t>
      </w:r>
    </w:p>
    <w:p>
      <w:pPr>
        <w:pStyle w:val="09BodyFirstParagraph"/>
        <w:rPr/>
      </w:pPr>
      <w:r>
        <w:rPr/>
        <w:t>“</w:t>
      </w:r>
      <w:r>
        <w:rPr/>
        <w:t>Transformer learns sequential information via a self-attention mechanism instead of the recurrent connection employed in RNN.”</w:t>
      </w:r>
    </w:p>
    <w:p>
      <w:pPr>
        <w:pStyle w:val="09BodyFirstParagraph"/>
        <w:rPr/>
      </w:pPr>
      <w:r>
        <w:rPr/>
        <w:t>“</w:t>
      </w:r>
      <w:r>
        <w:rPr/>
        <w:t>Transformer learns sequential information via a self-attention mechanism instead of the recurrent connection employed in RNN”</w:t>
      </w:r>
    </w:p>
    <w:p>
      <w:pPr>
        <w:pStyle w:val="09BodyFirstParagraph"/>
        <w:rPr/>
      </w:pPr>
      <w:r>
        <w:rPr/>
        <w:t>“</w:t>
      </w:r>
      <w:r>
        <w:rPr/>
        <w:t xml:space="preserve">In our ASR framework, the S2S predicts a target sequence Y of characters or SentencePiece [“SentencePiece: A simple and language independent subword tokenizer and detokenizer for Neural Text Processing”, T. Kudo, J. Richardson] from an input sequence </w:t>
      </w:r>
      <w:r>
        <w:rPr/>
      </w:r>
      <m:oMath xmlns:m="http://schemas.openxmlformats.org/officeDocument/2006/math">
        <m:sSup>
          <m:e>
            <m:r>
              <w:rPr>
                <w:rFonts w:ascii="Cambria Math" w:hAnsi="Cambria Math"/>
              </w:rPr>
              <m:t xml:space="preserve">X</m:t>
            </m:r>
          </m:e>
          <m:sup>
            <m:r>
              <w:rPr>
                <w:rFonts w:ascii="Cambria Math" w:hAnsi="Cambria Math"/>
              </w:rPr>
              <m:t xml:space="preserve">fbank</m:t>
            </m:r>
          </m:sup>
        </m:sSup>
      </m:oMath>
      <w:r>
        <w:rPr/>
        <w:t xml:space="preserve">of logmel filterbank speech features”. </w:t>
      </w:r>
    </w:p>
    <w:p>
      <w:pPr>
        <w:pStyle w:val="09BodyFirstParagraph"/>
        <w:rPr/>
      </w:pPr>
      <w:r>
        <w:rPr/>
      </w:r>
    </w:p>
    <w:p>
      <w:pPr>
        <w:pStyle w:val="09BodyFirstParagraph"/>
        <w:numPr>
          <w:ilvl w:val="1"/>
          <w:numId w:val="3"/>
        </w:numPr>
        <w:rPr/>
      </w:pPr>
      <w:r>
        <w:rPr/>
        <w:t>Attention Layers in Transformer</w:t>
      </w:r>
    </w:p>
    <w:p>
      <w:pPr>
        <w:pStyle w:val="09BodyFirstParagraph"/>
        <w:rPr/>
      </w:pPr>
      <w:r>
        <w:rPr/>
        <w:t>“</w:t>
      </w:r>
      <w:r>
        <w:rPr/>
        <w:t>Transformer consists of multiple dot-attention layers:</w:t>
      </w:r>
    </w:p>
    <w:p>
      <w:pPr>
        <w:pStyle w:val="09BodyFirstParagraph"/>
        <w:rPr/>
      </w:pPr>
      <w:r>
        <w:rPr/>
      </w:r>
      <m:oMath xmlns:m="http://schemas.openxmlformats.org/officeDocument/2006/math"/>
      <w:r>
        <w:rPr/>
        <w:t>,</w:t>
      </w:r>
    </w:p>
    <w:p>
      <w:pPr>
        <w:pStyle w:val="09BodyFirstParagraph"/>
        <w:rPr/>
      </w:pPr>
      <w:r>
        <w:rPr/>
        <w:t>where a</w:t>
      </w:r>
      <w:r>
        <w:rPr/>
      </w:r>
      <m:oMath xmlns:m="http://schemas.openxmlformats.org/officeDocument/2006/math">
        <m:sSup>
          <m:e>
            <m:r>
              <w:rPr>
                <w:rFonts w:ascii="Cambria Math" w:hAnsi="Cambria Math"/>
              </w:rPr>
              <m:t xml:space="preserve">X</m:t>
            </m:r>
          </m:e>
          <m:sup>
            <m:r>
              <w:rPr>
                <w:rFonts w:ascii="Cambria Math" w:hAnsi="Cambria Math"/>
              </w:rPr>
              <m:t xml:space="preserve">k</m:t>
            </m:r>
          </m:sup>
        </m:sSup>
        <m:r>
          <w:rPr>
            <w:rFonts w:ascii="Cambria Math" w:hAnsi="Cambria Math"/>
          </w:rPr>
          <m:t xml:space="preserve">,</m:t>
        </m:r>
        <m:sSup>
          <m:e>
            <m:r>
              <w:rPr>
                <w:rFonts w:ascii="Cambria Math" w:hAnsi="Cambria Math"/>
              </w:rPr>
              <m:t xml:space="preserve">X</m:t>
            </m:r>
          </m:e>
          <m:sup>
            <m:r>
              <w:rPr>
                <w:rFonts w:ascii="Cambria Math" w:hAnsi="Cambria Math"/>
              </w:rPr>
              <m:t xml:space="preserve">v</m:t>
            </m:r>
          </m:sup>
        </m:sSup>
        <m:r>
          <w:rPr>
            <w:rFonts w:ascii="Cambria Math" w:hAnsi="Cambria Math"/>
          </w:rPr>
          <m:t xml:space="preserve">∈</m:t>
        </m:r>
        <m:sSup>
          <m:e>
            <m:r>
              <w:rPr>
                <w:rFonts w:ascii="Cambria Math" w:hAnsi="Cambria Math"/>
              </w:rPr>
              <m:t xml:space="preserve">ℝ</m:t>
            </m:r>
          </m:e>
          <m:sup>
            <m:sSup>
              <m:e>
                <m:r>
                  <w:rPr>
                    <w:rFonts w:ascii="Cambria Math" w:hAnsi="Cambria Math"/>
                  </w:rPr>
                  <m:t xml:space="preserve">n</m:t>
                </m:r>
              </m:e>
              <m:sup>
                <m:r>
                  <w:rPr>
                    <w:rFonts w:ascii="Cambria Math" w:hAnsi="Cambria Math"/>
                  </w:rPr>
                  <m:t xml:space="preserve">k</m:t>
                </m:r>
              </m:sup>
            </m:sSup>
            <m:r>
              <w:rPr>
                <w:rFonts w:ascii="Cambria Math" w:hAnsi="Cambria Math"/>
              </w:rPr>
              <m:t xml:space="preserve">×</m:t>
            </m:r>
            <m:sSup>
              <m:e>
                <m:r>
                  <w:rPr>
                    <w:rFonts w:ascii="Cambria Math" w:hAnsi="Cambria Math"/>
                  </w:rPr>
                  <m:t xml:space="preserve">d</m:t>
                </m:r>
              </m:e>
              <m:sup>
                <m:r>
                  <w:rPr>
                    <w:rFonts w:ascii="Cambria Math" w:hAnsi="Cambria Math"/>
                  </w:rPr>
                  <m:t xml:space="preserve">att</m:t>
                </m:r>
              </m:sup>
            </m:sSup>
          </m:sup>
        </m:sSup>
      </m:oMath>
      <w:r>
        <w:rPr/>
        <w:t xml:space="preserve">nd </w:t>
      </w:r>
      <w:r>
        <w:rPr/>
      </w:r>
      <m:oMath xmlns:m="http://schemas.openxmlformats.org/officeDocument/2006/math">
        <m:sSup>
          <m:e>
            <m:r>
              <w:rPr>
                <w:rFonts w:ascii="Cambria Math" w:hAnsi="Cambria Math"/>
              </w:rPr>
              <m:t xml:space="preserve">X</m:t>
            </m:r>
          </m:e>
          <m:sup>
            <m:r>
              <w:rPr>
                <w:rFonts w:ascii="Cambria Math" w:hAnsi="Cambria Math"/>
              </w:rPr>
              <m:t xml:space="preserve">q</m:t>
            </m:r>
          </m:sup>
        </m:sSup>
        <m:r>
          <w:rPr>
            <w:rFonts w:ascii="Cambria Math" w:hAnsi="Cambria Math"/>
          </w:rPr>
          <m:t xml:space="preserve">∈</m:t>
        </m:r>
        <m:sSup>
          <m:e>
            <m:r>
              <w:rPr>
                <w:rFonts w:ascii="Cambria Math" w:hAnsi="Cambria Math"/>
              </w:rPr>
              <m:t xml:space="preserve">ℝ</m:t>
            </m:r>
          </m:e>
          <m:sup>
            <m:sSup>
              <m:e>
                <m:r>
                  <w:rPr>
                    <w:rFonts w:ascii="Cambria Math" w:hAnsi="Cambria Math"/>
                  </w:rPr>
                  <m:t xml:space="preserve">n</m:t>
                </m:r>
              </m:e>
              <m:sup>
                <m:r>
                  <w:rPr>
                    <w:rFonts w:ascii="Cambria Math" w:hAnsi="Cambria Math"/>
                  </w:rPr>
                  <m:t xml:space="preserve">q</m:t>
                </m:r>
              </m:sup>
            </m:sSup>
            <m:r>
              <w:rPr>
                <w:rFonts w:ascii="Cambria Math" w:hAnsi="Cambria Math"/>
              </w:rPr>
              <m:t xml:space="preserve">×</m:t>
            </m:r>
            <m:sSup>
              <m:e>
                <m:r>
                  <w:rPr>
                    <w:rFonts w:ascii="Cambria Math" w:hAnsi="Cambria Math"/>
                  </w:rPr>
                  <m:t xml:space="preserve">d</m:t>
                </m:r>
              </m:e>
              <m:sup>
                <m:r>
                  <w:rPr>
                    <w:rFonts w:ascii="Cambria Math" w:hAnsi="Cambria Math"/>
                  </w:rPr>
                  <m:t xml:space="preserve">att</m:t>
                </m:r>
              </m:sup>
            </m:sSup>
          </m:sup>
        </m:sSup>
      </m:oMath>
      <w:r>
        <w:rPr/>
        <w:t xml:space="preserve">are inputs for this attention layer, </w:t>
      </w:r>
      <w:r>
        <w:rPr/>
      </w:r>
      <m:oMath xmlns:m="http://schemas.openxmlformats.org/officeDocument/2006/math">
        <m:sSup>
          <m:e>
            <m:r>
              <w:rPr>
                <w:rFonts w:ascii="Cambria Math" w:hAnsi="Cambria Math"/>
              </w:rPr>
              <m:t xml:space="preserve">d</m:t>
            </m:r>
          </m:e>
          <m:sup>
            <m:r>
              <w:rPr>
                <w:rFonts w:ascii="Cambria Math" w:hAnsi="Cambria Math"/>
              </w:rPr>
              <m:t xml:space="preserve">att</m:t>
            </m:r>
          </m:sup>
        </m:sSup>
      </m:oMath>
      <w:r>
        <w:rPr/>
        <w:t xml:space="preserve">is the number of feature dimensions, </w:t>
      </w:r>
      <w:r>
        <w:rPr/>
      </w:r>
      <m:oMath xmlns:m="http://schemas.openxmlformats.org/officeDocument/2006/math">
        <m:sSup>
          <m:e>
            <m:r>
              <w:rPr>
                <w:rFonts w:ascii="Cambria Math" w:hAnsi="Cambria Math"/>
              </w:rPr>
              <m:t xml:space="preserve">n</m:t>
            </m:r>
          </m:e>
          <m:sup>
            <m:r>
              <w:rPr>
                <w:rFonts w:ascii="Cambria Math" w:hAnsi="Cambria Math"/>
              </w:rPr>
              <m:t xml:space="preserve">q</m:t>
            </m:r>
          </m:sup>
        </m:sSup>
      </m:oMath>
      <w:r>
        <w:rPr/>
        <w:t xml:space="preserve">is the length of </w:t>
      </w:r>
      <w:r>
        <w:rPr/>
      </w:r>
      <m:oMath xmlns:m="http://schemas.openxmlformats.org/officeDocument/2006/math">
        <m:sSup>
          <m:e>
            <m:r>
              <w:rPr>
                <w:rFonts w:ascii="Cambria Math" w:hAnsi="Cambria Math"/>
              </w:rPr>
              <m:t xml:space="preserve">X</m:t>
            </m:r>
          </m:e>
          <m:sup>
            <m:r>
              <w:rPr>
                <w:rFonts w:ascii="Cambria Math" w:hAnsi="Cambria Math"/>
              </w:rPr>
              <m:t xml:space="preserve">q</m:t>
            </m:r>
          </m:sup>
        </m:sSup>
      </m:oMath>
      <w:r>
        <w:rPr/>
        <w:t xml:space="preserve">,and </w:t>
      </w:r>
      <w:r>
        <w:rPr/>
      </w:r>
      <m:oMath xmlns:m="http://schemas.openxmlformats.org/officeDocument/2006/math">
        <m:sSup>
          <m:e>
            <m:r>
              <w:rPr>
                <w:rFonts w:ascii="Cambria Math" w:hAnsi="Cambria Math"/>
              </w:rPr>
              <m:t xml:space="preserve">n</m:t>
            </m:r>
          </m:e>
          <m:sup>
            <m:r>
              <w:rPr>
                <w:rFonts w:ascii="Cambria Math" w:hAnsi="Cambria Math"/>
              </w:rPr>
              <m:t xml:space="preserve">k</m:t>
            </m:r>
          </m:sup>
        </m:sSup>
      </m:oMath>
      <w:r>
        <w:rPr/>
        <w:t xml:space="preserve">is the length of </w:t>
      </w:r>
      <w:r>
        <w:rPr/>
      </w:r>
      <m:oMath xmlns:m="http://schemas.openxmlformats.org/officeDocument/2006/math">
        <m:sSup>
          <m:e>
            <m:r>
              <w:rPr>
                <w:rFonts w:ascii="Cambria Math" w:hAnsi="Cambria Math"/>
              </w:rPr>
              <m:t xml:space="preserve">X</m:t>
            </m:r>
          </m:e>
          <m:sup>
            <m:r>
              <w:rPr>
                <w:rFonts w:ascii="Cambria Math" w:hAnsi="Cambria Math"/>
              </w:rPr>
              <m:t xml:space="preserve">k</m:t>
            </m:r>
          </m:sup>
        </m:sSup>
      </m:oMath>
      <w:r>
        <w:rPr/>
        <w:t xml:space="preserve"> and </w:t>
      </w:r>
      <w:r>
        <w:rPr/>
      </w:r>
      <m:oMath xmlns:m="http://schemas.openxmlformats.org/officeDocument/2006/math">
        <m:sSup>
          <m:e>
            <m:r>
              <w:rPr>
                <w:rFonts w:ascii="Cambria Math" w:hAnsi="Cambria Math"/>
              </w:rPr>
              <m:t xml:space="preserve">X</m:t>
            </m:r>
          </m:e>
          <m:sup>
            <m:r>
              <w:rPr>
                <w:rFonts w:ascii="Cambria Math" w:hAnsi="Cambria Math"/>
              </w:rPr>
              <m:t xml:space="preserve">v</m:t>
            </m:r>
          </m:sup>
        </m:sSup>
      </m:oMath>
      <w:r>
        <w:rPr/>
        <w:t xml:space="preserve">. We refer to </w:t>
      </w:r>
      <w:r>
        <w:rPr/>
      </w:r>
      <m:oMath xmlns:m="http://schemas.openxmlformats.org/officeDocument/2006/math">
        <m:sSup>
          <m:e>
            <m:r>
              <w:rPr>
                <w:rFonts w:ascii="Cambria Math" w:hAnsi="Cambria Math"/>
              </w:rPr>
              <m:t xml:space="preserve">X</m:t>
            </m:r>
          </m:e>
          <m:sup>
            <m:r>
              <w:rPr>
                <w:rFonts w:ascii="Cambria Math" w:hAnsi="Cambria Math"/>
              </w:rPr>
              <m:t xml:space="preserve">q</m:t>
            </m:r>
          </m:sup>
        </m:sSup>
        <m:sSup>
          <m:e>
            <m:sSup>
              <m:e>
                <m:r>
                  <w:rPr>
                    <w:rFonts w:ascii="Cambria Math" w:hAnsi="Cambria Math"/>
                  </w:rPr>
                  <m:t xml:space="preserve">X</m:t>
                </m:r>
              </m:e>
              <m:sup>
                <m:r>
                  <w:rPr>
                    <w:rFonts w:ascii="Cambria Math" w:hAnsi="Cambria Math"/>
                  </w:rPr>
                  <m:t xml:space="preserve">k</m:t>
                </m:r>
              </m:sup>
            </m:sSup>
          </m:e>
          <m:sup>
            <m:r>
              <w:rPr>
                <w:rFonts w:ascii="Cambria Math" w:hAnsi="Cambria Math"/>
              </w:rPr>
              <m:t xml:space="preserve">T</m:t>
            </m:r>
          </m:sup>
        </m:sSup>
      </m:oMath>
      <w:r>
        <w:rPr/>
        <w:t xml:space="preserve">as the attention matrix. Vaswani et al., in their original paper, considered these inputs to be query and set of key-value pairs respectively. </w:t>
      </w:r>
    </w:p>
    <w:p>
      <w:pPr>
        <w:pStyle w:val="09BodyFirstParagraph"/>
        <w:rPr/>
      </w:pPr>
      <w:r>
        <w:rPr/>
        <w:t>”</w:t>
      </w:r>
    </w:p>
    <w:p>
      <w:pPr>
        <w:pStyle w:val="09BodyFirstParagraph"/>
        <w:rPr/>
      </w:pPr>
      <w:r>
        <w:rPr/>
        <w:t>“</w:t>
      </w:r>
      <w:r>
        <w:rPr/>
        <w:t>In addition, to allow the model to deal with multiple attentions in parallel, Vaswani et al. extended this attention layer to multi-head attention (MHA):</w:t>
      </w:r>
    </w:p>
    <w:p>
      <w:pPr>
        <w:pStyle w:val="09BodyFirstParagraph"/>
        <w:rPr/>
      </w:pPr>
      <w:r>
        <w:rPr/>
      </w:r>
      <m:oMath xmlns:m="http://schemas.openxmlformats.org/officeDocument/2006/math"/>
      <w:r>
        <w:rPr/>
        <w:t>,</w:t>
      </w:r>
    </w:p>
    <w:p>
      <w:pPr>
        <w:pStyle w:val="09BodyFirstParagraph"/>
        <w:rPr/>
      </w:pPr>
      <w:r>
        <w:rPr/>
      </w:r>
      <m:oMath xmlns:m="http://schemas.openxmlformats.org/officeDocument/2006/math">
        <m:sSub>
          <m:e>
            <m:r>
              <w:rPr>
                <w:rFonts w:ascii="Cambria Math" w:hAnsi="Cambria Math"/>
              </w:rPr>
              <m:t xml:space="preserve">H</m:t>
            </m:r>
          </m:e>
          <m:sub>
            <m:r>
              <w:rPr>
                <w:rFonts w:ascii="Cambria Math" w:hAnsi="Cambria Math"/>
              </w:rPr>
              <m:t xml:space="preserve">h</m:t>
            </m:r>
          </m:sub>
        </m:sSub>
        <m:r>
          <w:rPr>
            <w:rFonts w:ascii="Cambria Math" w:hAnsi="Cambria Math"/>
          </w:rPr>
          <m:t xml:space="preserve">=</m:t>
        </m:r>
        <m:r>
          <w:rPr>
            <w:rFonts w:ascii="Cambria Math" w:hAnsi="Cambria Math"/>
          </w:rPr>
          <m:t xml:space="preserve">att</m:t>
        </m:r>
        <m:d>
          <m:dPr>
            <m:begChr m:val="("/>
            <m:endChr m:val=")"/>
          </m:dPr>
          <m:e>
            <m:r>
              <w:rPr>
                <w:rFonts w:ascii="Cambria Math" w:hAnsi="Cambria Math"/>
              </w:rPr>
              <m:t xml:space="preserve">Q</m:t>
            </m:r>
            <m:sSup>
              <m:e>
                <m:sSub>
                  <m:e>
                    <m:r>
                      <w:rPr>
                        <w:rFonts w:ascii="Cambria Math" w:hAnsi="Cambria Math"/>
                      </w:rPr>
                      <m:t xml:space="preserve">W</m:t>
                    </m:r>
                  </m:e>
                  <m:sub>
                    <m:r>
                      <w:rPr>
                        <w:rFonts w:ascii="Cambria Math" w:hAnsi="Cambria Math"/>
                      </w:rPr>
                      <m:t xml:space="preserve">h</m:t>
                    </m:r>
                  </m:sub>
                </m:sSub>
              </m:e>
              <m:sup>
                <m:r>
                  <w:rPr>
                    <w:rFonts w:ascii="Cambria Math" w:hAnsi="Cambria Math"/>
                  </w:rPr>
                  <m:t xml:space="preserve">q</m:t>
                </m:r>
              </m:sup>
            </m:sSup>
            <m:r>
              <w:rPr>
                <w:rFonts w:ascii="Cambria Math" w:hAnsi="Cambria Math"/>
              </w:rPr>
              <m:t xml:space="preserve">,</m:t>
            </m:r>
            <m:r>
              <w:rPr>
                <w:rFonts w:ascii="Cambria Math" w:hAnsi="Cambria Math"/>
              </w:rPr>
              <m:t xml:space="preserve">K</m:t>
            </m:r>
            <m:sSup>
              <m:e>
                <m:sSub>
                  <m:e>
                    <m:r>
                      <w:rPr>
                        <w:rFonts w:ascii="Cambria Math" w:hAnsi="Cambria Math"/>
                      </w:rPr>
                      <m:t xml:space="preserve">W</m:t>
                    </m:r>
                  </m:e>
                  <m:sub>
                    <m:r>
                      <w:rPr>
                        <w:rFonts w:ascii="Cambria Math" w:hAnsi="Cambria Math"/>
                      </w:rPr>
                      <m:t xml:space="preserve">h</m:t>
                    </m:r>
                  </m:sub>
                </m:sSub>
              </m:e>
              <m:sup>
                <m:r>
                  <w:rPr>
                    <w:rFonts w:ascii="Cambria Math" w:hAnsi="Cambria Math"/>
                  </w:rPr>
                  <m:t xml:space="preserve">k</m:t>
                </m:r>
              </m:sup>
            </m:sSup>
            <m:r>
              <w:rPr>
                <w:rFonts w:ascii="Cambria Math" w:hAnsi="Cambria Math"/>
              </w:rPr>
              <m:t xml:space="preserve">,</m:t>
            </m:r>
            <m:r>
              <w:rPr>
                <w:rFonts w:ascii="Cambria Math" w:hAnsi="Cambria Math"/>
              </w:rPr>
              <m:t xml:space="preserve">V</m:t>
            </m:r>
            <m:sSup>
              <m:e>
                <m:sSub>
                  <m:e>
                    <m:r>
                      <w:rPr>
                        <w:rFonts w:ascii="Cambria Math" w:hAnsi="Cambria Math"/>
                      </w:rPr>
                      <m:t xml:space="preserve">W</m:t>
                    </m:r>
                  </m:e>
                  <m:sub>
                    <m:r>
                      <w:rPr>
                        <w:rFonts w:ascii="Cambria Math" w:hAnsi="Cambria Math"/>
                      </w:rPr>
                      <m:t xml:space="preserve">h</m:t>
                    </m:r>
                  </m:sub>
                </m:sSub>
              </m:e>
              <m:sup>
                <m:r>
                  <w:rPr>
                    <w:rFonts w:ascii="Cambria Math" w:hAnsi="Cambria Math"/>
                  </w:rPr>
                  <m:t xml:space="preserve">v</m:t>
                </m:r>
              </m:sup>
            </m:sSup>
          </m:e>
        </m:d>
      </m:oMath>
      <w:r>
        <w:rPr/>
        <w:t>,</w:t>
      </w:r>
    </w:p>
    <w:p>
      <w:pPr>
        <w:pStyle w:val="09BodyFirstParagraph"/>
        <w:rPr/>
      </w:pPr>
      <w:r>
        <w:rPr/>
        <w:t xml:space="preserve">where </w:t>
      </w:r>
    </w:p>
    <w:p>
      <w:pPr>
        <w:pStyle w:val="09BodyFirstParagraph"/>
        <w:rPr/>
      </w:pPr>
      <w:r>
        <w:rPr/>
        <w:t>”</w:t>
      </w:r>
    </w:p>
    <w:p>
      <w:pPr>
        <w:pStyle w:val="09BodyFirstParagraph"/>
        <w:rPr/>
      </w:pPr>
      <w:r>
        <w:rPr/>
      </w:r>
    </w:p>
    <w:p>
      <w:pPr>
        <w:pStyle w:val="09BodyFirstParagraph"/>
        <w:rPr/>
      </w:pPr>
      <w:r>
        <w:rPr/>
      </w:r>
    </w:p>
    <w:p>
      <w:pPr>
        <w:pStyle w:val="09BodyFirstParagraph"/>
        <w:numPr>
          <w:ilvl w:val="1"/>
          <w:numId w:val="3"/>
        </w:numPr>
        <w:rPr/>
      </w:pPr>
      <w:r>
        <w:rPr/>
        <w:t>Self-Attention Encoder</w:t>
      </w:r>
    </w:p>
    <w:p>
      <w:pPr>
        <w:pStyle w:val="09BodyFirstParagraph"/>
        <w:rPr/>
      </w:pPr>
      <w:r>
        <w:rPr/>
      </w:r>
    </w:p>
    <w:p>
      <w:pPr>
        <w:pStyle w:val="09BodyFirstParagraph"/>
        <w:numPr>
          <w:ilvl w:val="0"/>
          <w:numId w:val="0"/>
        </w:numPr>
        <w:ind w:left="360" w:hanging="0"/>
        <w:rPr/>
      </w:pPr>
      <w:r>
        <w:rPr/>
      </w:r>
    </w:p>
    <w:p>
      <w:pPr>
        <w:pStyle w:val="09BodyFirstParagraph"/>
        <w:numPr>
          <w:ilvl w:val="1"/>
          <w:numId w:val="3"/>
        </w:numPr>
        <w:rPr/>
      </w:pPr>
      <w:r>
        <w:rPr/>
        <w:t>Self-Attention Decoder</w:t>
      </w:r>
    </w:p>
    <w:p>
      <w:pPr>
        <w:pStyle w:val="09BodyFirstParagraph"/>
        <w:rPr/>
      </w:pPr>
      <w:r>
        <w:rPr/>
      </w:r>
    </w:p>
    <w:p>
      <w:pPr>
        <w:pStyle w:val="09BodyFirstParagraph"/>
        <w:numPr>
          <w:ilvl w:val="1"/>
          <w:numId w:val="3"/>
        </w:numPr>
        <w:rPr/>
      </w:pPr>
      <w:r>
        <w:rPr/>
        <w:t>Encoder architecture</w:t>
      </w:r>
    </w:p>
    <w:p>
      <w:pPr>
        <w:pStyle w:val="09BodyFirstParagraph"/>
        <w:rPr/>
      </w:pPr>
      <w:r>
        <w:rPr/>
        <w:t>“</w:t>
      </w:r>
      <w:r>
        <w:rPr/>
        <w:t xml:space="preserve">The source X in ASR is represented as a sequence of 83-dim log-mel filterbank frames with pitch features [“A pitch extraction algorithm tuned for automatic speech recognition”, P. Ghahremani et al.]. First, EncPre(·) trans-forms the source sequence X into a subsampled sequence  </w:t>
      </w:r>
      <w:r>
        <w:rPr/>
      </w:r>
      <m:oMath xmlns:m="http://schemas.openxmlformats.org/officeDocument/2006/math">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p>
          <m:e>
            <m:r>
              <w:rPr>
                <w:rFonts w:ascii="Cambria Math" w:hAnsi="Cambria Math"/>
              </w:rPr>
              <m:t xml:space="preserve">ℝ</m:t>
            </m:r>
          </m:e>
          <m:sup>
            <m:sSup>
              <m:e>
                <m:r>
                  <w:rPr>
                    <w:rFonts w:ascii="Cambria Math" w:hAnsi="Cambria Math"/>
                  </w:rPr>
                  <m:t xml:space="preserve">n</m:t>
                </m:r>
              </m:e>
              <m:sup>
                <m:r>
                  <w:rPr>
                    <w:rFonts w:ascii="Cambria Math" w:hAnsi="Cambria Math"/>
                  </w:rPr>
                  <m:t xml:space="preserve">subsample</m:t>
                </m:r>
              </m:sup>
            </m:sSup>
            <m:r>
              <w:rPr>
                <w:rFonts w:ascii="Cambria Math" w:hAnsi="Cambria Math"/>
              </w:rPr>
              <m:t xml:space="preserve">×</m:t>
            </m:r>
            <m:sSup>
              <m:e>
                <m:r>
                  <w:rPr>
                    <w:rFonts w:ascii="Cambria Math" w:hAnsi="Cambria Math"/>
                  </w:rPr>
                  <m:t xml:space="preserve">d</m:t>
                </m:r>
              </m:e>
              <m:sup>
                <m:r>
                  <w:rPr>
                    <w:rFonts w:ascii="Cambria Math" w:hAnsi="Cambria Math"/>
                  </w:rPr>
                  <m:t xml:space="preserve">att</m:t>
                </m:r>
              </m:sup>
            </m:sSup>
          </m:sup>
        </m:sSup>
      </m:oMath>
      <w:r>
        <w:rPr/>
        <w:t xml:space="preserve">“Advances in Joint CTC-Attention based End-to-End Speech Recognition with a Deep CNN Encoder and RNN-LM” T. Hori et al.by using two-layer CNN with 256 channels, stride size 2 and kernel size 3 in [“SPEECH-TRANSFORMER: A NO-RECURRENCE SEQUENCE-TO-SEQUENCE MODEL FOR SPEECH RECOGNITION”, L. Dong </w:t>
      </w:r>
      <w:r>
        <w:rPr/>
        <w:t>et al.</w:t>
      </w:r>
      <w:r>
        <w:rPr/>
        <w:t xml:space="preserve">], or VGG-like max pooling in [“Advances in Joint CTC-Attention based End-to-End Speech Recognition with a Deep CNN Encoder and RNN-LM” T. Hori et al.], where </w:t>
      </w:r>
      <w:r>
        <w:rPr/>
      </w:r>
      <m:oMath xmlns:m="http://schemas.openxmlformats.org/officeDocument/2006/math">
        <m:sSup>
          <m:e>
            <m:r>
              <w:rPr>
                <w:rFonts w:ascii="Cambria Math" w:hAnsi="Cambria Math"/>
              </w:rPr>
              <m:t xml:space="preserve">n</m:t>
            </m:r>
          </m:e>
          <m:sup>
            <m:r>
              <w:rPr>
                <w:rFonts w:ascii="Cambria Math" w:hAnsi="Cambria Math"/>
              </w:rPr>
              <m:t xml:space="preserve">subsample</m:t>
            </m:r>
          </m:sup>
        </m:sSup>
      </m:oMath>
      <w:r>
        <w:rPr/>
        <w:t xml:space="preserve">is the length of the output sequence of the CNN. This CNN corresponds to EncPre(·) in Eq. (1). Then, EncBody(·) transforms sub att </w:t>
      </w:r>
      <w:r>
        <w:rPr/>
      </w:r>
      <m:oMath xmlns:m="http://schemas.openxmlformats.org/officeDocument/2006/math">
        <m:sSub>
          <m:e>
            <m:r>
              <w:rPr>
                <w:rFonts w:ascii="Cambria Math" w:hAnsi="Cambria Math"/>
              </w:rPr>
              <m:t xml:space="preserve">X</m:t>
            </m:r>
          </m:e>
          <m:sub>
            <m:r>
              <w:rPr>
                <w:rFonts w:ascii="Cambria Math" w:hAnsi="Cambria Math"/>
              </w:rPr>
              <m:t xml:space="preserve">0</m:t>
            </m:r>
          </m:sub>
        </m:sSub>
      </m:oMath>
      <w:r>
        <w:rPr/>
        <w:t xml:space="preserve">into a sequence of encoded features </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r>
          <w:rPr>
            <w:rFonts w:ascii="Cambria Math" w:hAnsi="Cambria Math"/>
          </w:rPr>
          <m:t xml:space="preserve">∈</m:t>
        </m:r>
        <m:sSup>
          <m:e>
            <m:r>
              <w:rPr>
                <w:rFonts w:ascii="Cambria Math" w:hAnsi="Cambria Math"/>
              </w:rPr>
              <m:t xml:space="preserve">ℝ</m:t>
            </m:r>
          </m:e>
          <m:sup>
            <m:sSup>
              <m:e>
                <m:r>
                  <w:rPr>
                    <w:rFonts w:ascii="Cambria Math" w:hAnsi="Cambria Math"/>
                  </w:rPr>
                  <m:t xml:space="preserve">n</m:t>
                </m:r>
              </m:e>
              <m:sup>
                <m:r>
                  <w:rPr>
                    <w:rFonts w:ascii="Cambria Math" w:hAnsi="Cambria Math"/>
                  </w:rPr>
                  <m:t xml:space="preserve">subsample</m:t>
                </m:r>
              </m:sup>
            </m:sSup>
            <m:r>
              <w:rPr>
                <w:rFonts w:ascii="Cambria Math" w:hAnsi="Cambria Math"/>
              </w:rPr>
              <m:t xml:space="preserve">×</m:t>
            </m:r>
            <m:sSup>
              <m:e>
                <m:r>
                  <w:rPr>
                    <w:rFonts w:ascii="Cambria Math" w:hAnsi="Cambria Math"/>
                  </w:rPr>
                  <m:t xml:space="preserve">d</m:t>
                </m:r>
              </m:e>
              <m:sup>
                <m:r>
                  <w:rPr>
                    <w:rFonts w:ascii="Cambria Math" w:hAnsi="Cambria Math"/>
                  </w:rPr>
                  <m:t xml:space="preserve">att</m:t>
                </m:r>
              </m:sup>
            </m:sSup>
          </m:sup>
        </m:sSup>
      </m:oMath>
      <w:r>
        <w:rPr/>
        <w:t xml:space="preserve">  for the CTC and decoder networks.”</w:t>
      </w:r>
    </w:p>
    <w:p>
      <w:pPr>
        <w:pStyle w:val="09BodyFirstParagraph"/>
        <w:rPr/>
      </w:pPr>
      <w:r>
        <w:rPr/>
      </w:r>
    </w:p>
    <w:p>
      <w:pPr>
        <w:pStyle w:val="09BodyFirstParagraph"/>
        <w:numPr>
          <w:ilvl w:val="1"/>
          <w:numId w:val="3"/>
        </w:numPr>
        <w:rPr/>
      </w:pPr>
      <w:r>
        <w:rPr/>
        <w:t>Decoder architecture</w:t>
      </w:r>
    </w:p>
    <w:p>
      <w:pPr>
        <w:pStyle w:val="09BodyFirstParagraph"/>
        <w:rPr/>
      </w:pPr>
      <w:r>
        <w:rPr/>
        <w:t>“</w:t>
      </w:r>
      <w:r>
        <w:rPr/>
        <w:t xml:space="preserve">The decoder network receives the encoded sequence </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oMath>
      <w:r>
        <w:rPr/>
        <w:t xml:space="preserve">and the prefix of a target sequence </w:t>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e>
        </m:d>
      </m:oMath>
      <w:r>
        <w:rPr/>
        <w:t xml:space="preserve">of token IDs: characters or SentencePiece [“SentencePiece: A simple and language independent subword tokenizer and detokenizer for Neural Text Processing”, T. Kudo, J. Richardson]. First, DecPre(·) in Eq. (3) embeds the tokens into learnable vectors. Next, DecBody(·) and single-linear layer DecPost(·) predicts the posterior distribution of the next token prediction </w:t>
      </w:r>
      <w:r>
        <w:rPr/>
      </w:r>
      <m:oMath xmlns:m="http://schemas.openxmlformats.org/officeDocument/2006/math">
        <m:sSub>
          <m:e>
            <m:r>
              <w:rPr>
                <w:rFonts w:ascii="Cambria Math" w:hAnsi="Cambria Math"/>
              </w:rPr>
              <m:t xml:space="preserve">Y</m:t>
            </m:r>
          </m:e>
          <m:sub>
            <m:r>
              <w:rPr>
                <w:rFonts w:ascii="Cambria Math" w:hAnsi="Cambria Math"/>
              </w:rPr>
              <m:t xml:space="preserve">post</m:t>
            </m:r>
          </m:sub>
        </m:sSub>
        <m:d>
          <m:dPr>
            <m:begChr m:val="["/>
            <m:endChr m:val="]"/>
          </m:dPr>
          <m:e>
            <m:r>
              <w:rPr>
                <w:rFonts w:ascii="Cambria Math" w:hAnsi="Cambria Math"/>
              </w:rPr>
              <m:t xml:space="preserve">t</m:t>
            </m:r>
          </m:e>
        </m:d>
      </m:oMath>
      <w:r>
        <w:rPr/>
        <w:t xml:space="preserve">given </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oMath>
      <w:r>
        <w:rPr/>
        <w:t xml:space="preserve">and </w:t>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e>
        </m:d>
      </m:oMath>
      <w:r>
        <w:rPr/>
        <w:t>.”</w:t>
      </w:r>
    </w:p>
    <w:p>
      <w:pPr>
        <w:pStyle w:val="09BodyFirstParagraph"/>
        <w:numPr>
          <w:ilvl w:val="1"/>
          <w:numId w:val="3"/>
        </w:numPr>
        <w:rPr/>
      </w:pPr>
      <w:r>
        <w:rPr/>
        <w:t xml:space="preserve">Training and Decoding </w:t>
      </w:r>
    </w:p>
    <w:p>
      <w:pPr>
        <w:pStyle w:val="09BodyFirstParagraph"/>
        <w:rPr/>
      </w:pPr>
      <w:r>
        <w:rPr/>
        <w:t>“</w:t>
      </w:r>
      <w:r>
        <w:rPr/>
        <w:t xml:space="preserve">During ASR training, both the decoder and the CTC module predict the frame-wise posterior distribution of Y given corresponding source X: </w:t>
      </w:r>
      <w:r>
        <w:rPr/>
      </w:r>
      <m:oMath xmlns:m="http://schemas.openxmlformats.org/officeDocument/2006/math">
        <m:sSub>
          <m:e>
            <m:r>
              <w:rPr>
                <w:rFonts w:ascii="Cambria Math" w:hAnsi="Cambria Math"/>
              </w:rPr>
              <m:t xml:space="preserve">p</m:t>
            </m:r>
          </m:e>
          <m:sub>
            <m:r>
              <w:rPr>
                <w:rFonts w:ascii="Cambria Math" w:hAnsi="Cambria Math"/>
              </w:rPr>
              <m:t xml:space="preserve">att</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and</w:t>
      </w:r>
      <w:r>
        <w:rPr/>
        <w:t xml:space="preserve"> </w:t>
      </w:r>
      <w:r>
        <w:rPr/>
      </w:r>
      <m:oMath xmlns:m="http://schemas.openxmlformats.org/officeDocument/2006/math">
        <m:sSub>
          <m:e>
            <m:r>
              <w:rPr>
                <w:rFonts w:ascii="Cambria Math" w:hAnsi="Cambria Math"/>
              </w:rPr>
              <m:t xml:space="preserve">p</m:t>
            </m:r>
          </m:e>
          <m:sub>
            <m:r>
              <w:rPr>
                <w:rFonts w:ascii="Cambria Math" w:hAnsi="Cambria Math"/>
              </w:rPr>
              <m:t xml:space="preserve">ctc</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 respectively. We simply use the weighted sum of those negative log likelihood values:</w:t>
      </w:r>
    </w:p>
    <w:p>
      <w:pPr>
        <w:pStyle w:val="09BodyFirstParagraph"/>
        <w:rPr/>
      </w:pPr>
      <w:r>
        <w:rPr/>
      </w:r>
      <m:oMath xmlns:m="http://schemas.openxmlformats.org/officeDocument/2006/math">
        <m:sSup>
          <m:e>
            <m:r>
              <w:rPr>
                <w:rFonts w:ascii="Cambria Math" w:hAnsi="Cambria Math"/>
              </w:rPr>
              <m:t xml:space="preserve">L</m:t>
            </m:r>
          </m:e>
          <m:sup>
            <m:r>
              <w:rPr>
                <w:rFonts w:ascii="Cambria Math" w:hAnsi="Cambria Math"/>
              </w:rPr>
              <m:t xml:space="preserve">ASR</m:t>
            </m:r>
          </m:sup>
        </m:sSup>
        <m:r>
          <w:rPr>
            <w:rFonts w:ascii="Cambria Math" w:hAnsi="Cambria Math"/>
          </w:rPr>
          <m:t xml:space="preserve">=</m:t>
        </m:r>
        <m:r>
          <w:rPr>
            <w:rFonts w:ascii="Cambria Math" w:hAnsi="Cambria Math"/>
          </w:rPr>
          <m:t xml:space="preserve">−</m:t>
        </m:r>
        <m:r>
          <w:rPr>
            <w:rFonts w:ascii="Cambria Math" w:hAnsi="Cambria Math"/>
          </w:rPr>
          <m:t xml:space="preserve">α</m:t>
        </m:r>
        <m:r>
          <w:rPr>
            <w:rFonts w:ascii="Cambria Math" w:hAnsi="Cambria Math"/>
          </w:rPr>
          <m:t xml:space="preserve">log</m:t>
        </m:r>
        <m:d>
          <m:dPr>
            <m:begChr m:val="("/>
            <m:endChr m:val=")"/>
          </m:dPr>
          <m:e>
            <m:sSub>
              <m:e>
                <m:r>
                  <w:rPr>
                    <w:rFonts w:ascii="Cambria Math" w:hAnsi="Cambria Math"/>
                  </w:rPr>
                  <m:t xml:space="preserve">p</m:t>
                </m:r>
              </m:e>
              <m:sub>
                <m:r>
                  <w:rPr>
                    <w:rFonts w:ascii="Cambria Math" w:hAnsi="Cambria Math"/>
                  </w:rPr>
                  <m:t xml:space="preserve">ctc</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X</m:t>
                </m:r>
              </m:e>
            </m:d>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r>
          <w:rPr>
            <w:rFonts w:ascii="Cambria Math" w:hAnsi="Cambria Math"/>
          </w:rPr>
          <m:t xml:space="preserve">log</m:t>
        </m:r>
        <m:d>
          <m:dPr>
            <m:begChr m:val="("/>
            <m:endChr m:val=")"/>
          </m:dPr>
          <m:e>
            <m:sSub>
              <m:e>
                <m:r>
                  <w:rPr>
                    <w:rFonts w:ascii="Cambria Math" w:hAnsi="Cambria Math"/>
                  </w:rPr>
                  <m:t xml:space="preserve">p</m:t>
                </m:r>
              </m:e>
              <m:sub>
                <m:r>
                  <w:rPr>
                    <w:rFonts w:ascii="Cambria Math" w:hAnsi="Cambria Math"/>
                  </w:rPr>
                  <m:t xml:space="preserve">att</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X</m:t>
                </m:r>
              </m:e>
            </m:d>
          </m:e>
        </m:d>
      </m:oMath>
      <w:r>
        <w:rPr/>
        <w:t>, (14)</w:t>
      </w:r>
    </w:p>
    <w:p>
      <w:pPr>
        <w:pStyle w:val="09BodyFirstParagraph"/>
        <w:rPr/>
      </w:pPr>
      <w:r>
        <w:rPr/>
        <w:t xml:space="preserve">where α is a hyperparameter. </w:t>
      </w:r>
    </w:p>
    <w:p>
      <w:pPr>
        <w:pStyle w:val="09BodyFirstParagraph"/>
        <w:rPr/>
      </w:pPr>
      <w:r>
        <w:rPr/>
        <w:t xml:space="preserve">In the decoding stage, the decoder predicts the next token given the speech feature X and the previous predicted tokens using beam search, which combines the scores of </w:t>
      </w:r>
      <w:r>
        <w:rPr/>
        <w:t>ATT</w:t>
      </w:r>
      <w:r>
        <w:rPr/>
        <w:t xml:space="preserve">, CTC and the RNN language model (LM) [“Recurrent neural network based language mode”, </w:t>
      </w:r>
      <w:r>
        <w:rPr/>
        <w:t>T. Mikolov et al.</w:t>
      </w:r>
      <w:r>
        <w:rPr/>
        <w:t>] as follows:</w:t>
      </w:r>
    </w:p>
    <w:p>
      <w:pPr>
        <w:pStyle w:val="09BodyFirstParagraph"/>
        <w:rPr/>
      </w:pPr>
      <w:r>
        <w:rPr/>
      </w:r>
      <m:oMath xmlns:m="http://schemas.openxmlformats.org/officeDocument/2006/math">
        <m:r>
          <w:rPr>
            <w:rFonts w:ascii="Cambria Math" w:hAnsi="Cambria Math"/>
          </w:rPr>
          <m:t xml:space="preserve">Y</m:t>
        </m:r>
        <m:r>
          <w:rPr>
            <w:rFonts w:ascii="Cambria Math" w:hAnsi="Cambria Math"/>
          </w:rPr>
          <m:t xml:space="preserve">=</m:t>
        </m:r>
        <m:limLow>
          <m:e>
            <m:r>
              <w:rPr>
                <w:rFonts w:ascii="Cambria Math" w:hAnsi="Cambria Math"/>
              </w:rPr>
              <m:t xml:space="preserve">argmax</m:t>
            </m:r>
          </m:e>
          <m:lim>
            <m:r>
              <w:rPr>
                <w:rFonts w:ascii="Cambria Math" w:hAnsi="Cambria Math"/>
              </w:rPr>
              <m:t xml:space="preserve">Y</m:t>
            </m:r>
            <m:r>
              <w:rPr>
                <w:rFonts w:ascii="Cambria Math" w:hAnsi="Cambria Math"/>
              </w:rPr>
              <m:t xml:space="preserve">∈</m:t>
            </m:r>
            <m:sSup>
              <m:e>
                <m:r>
                  <w:rPr>
                    <w:rFonts w:ascii="Cambria Math" w:hAnsi="Cambria Math"/>
                  </w:rPr>
                  <m:t xml:space="preserve">Y</m:t>
                </m:r>
              </m:e>
              <m:sup>
                <m:r>
                  <w:rPr>
                    <w:rFonts w:ascii="Cambria Math" w:hAnsi="Cambria Math"/>
                  </w:rPr>
                  <m:t xml:space="preserve">∗</m:t>
                </m:r>
              </m:sup>
            </m:sSup>
          </m:lim>
        </m:limLow>
        <m:r>
          <w:rPr>
            <w:rFonts w:ascii="Cambria Math" w:hAnsi="Cambria Math"/>
          </w:rPr>
          <m:t xml:space="preserve">{</m:t>
        </m:r>
        <m:r>
          <w:rPr>
            <w:rFonts w:ascii="Cambria Math" w:hAnsi="Cambria Math"/>
          </w:rPr>
          <m:t xml:space="preserve">α</m:t>
        </m:r>
        <m:r>
          <w:rPr>
            <w:rFonts w:ascii="Cambria Math" w:hAnsi="Cambria Math"/>
          </w:rPr>
          <m:t xml:space="preserve">log</m:t>
        </m:r>
        <m:d>
          <m:dPr>
            <m:begChr m:val="("/>
            <m:endChr m:val=")"/>
          </m:dPr>
          <m:e>
            <m:sSub>
              <m:e>
                <m:r>
                  <w:rPr>
                    <w:rFonts w:ascii="Cambria Math" w:hAnsi="Cambria Math"/>
                  </w:rPr>
                  <m:t xml:space="preserve">p</m:t>
                </m:r>
              </m:e>
              <m:sub>
                <m:r>
                  <w:rPr>
                    <w:rFonts w:ascii="Cambria Math" w:hAnsi="Cambria Math"/>
                  </w:rPr>
                  <m:t xml:space="preserve">ctc</m:t>
                </m:r>
              </m:sub>
            </m:sSub>
            <m:d>
              <m:dPr>
                <m:begChr m:val="("/>
                <m:endChr m:val=")"/>
              </m:dPr>
              <m:e>
                <m:r>
                  <w:rPr>
                    <w:rFonts w:ascii="Cambria Math" w:hAnsi="Cambria Math"/>
                  </w:rPr>
                  <m:t xml:space="preserve">Y</m:t>
                </m:r>
                <m:r>
                  <w:rPr>
                    <w:rFonts w:ascii="Cambria Math" w:hAnsi="Cambria Math"/>
                  </w:rPr>
                  <m:t xml:space="preserve">|</m:t>
                </m:r>
                <m:sSub>
                  <m:e>
                    <m:r>
                      <w:rPr>
                        <w:rFonts w:ascii="Cambria Math" w:hAnsi="Cambria Math"/>
                      </w:rPr>
                      <m:t xml:space="preserve">X</m:t>
                    </m:r>
                  </m:e>
                  <m:sub>
                    <m:r>
                      <w:rPr>
                        <w:rFonts w:ascii="Cambria Math" w:hAnsi="Cambria Math"/>
                      </w:rPr>
                      <m:t xml:space="preserve">e</m:t>
                    </m:r>
                  </m:sub>
                </m:sSub>
              </m:e>
            </m:d>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r>
          <w:rPr>
            <w:rFonts w:ascii="Cambria Math" w:hAnsi="Cambria Math"/>
          </w:rPr>
          <m:t xml:space="preserve">log</m:t>
        </m:r>
        <m:d>
          <m:dPr>
            <m:begChr m:val="("/>
            <m:endChr m:val=")"/>
          </m:dPr>
          <m:e>
            <m:sSub>
              <m:e>
                <m:r>
                  <w:rPr>
                    <w:rFonts w:ascii="Cambria Math" w:hAnsi="Cambria Math"/>
                  </w:rPr>
                  <m:t xml:space="preserve">p</m:t>
                </m:r>
              </m:e>
              <m:sub>
                <m:r>
                  <w:rPr>
                    <w:rFonts w:ascii="Cambria Math" w:hAnsi="Cambria Math"/>
                  </w:rPr>
                  <m:t xml:space="preserve">att</m:t>
                </m:r>
              </m:sub>
            </m:sSub>
            <m:d>
              <m:dPr>
                <m:begChr m:val="("/>
                <m:endChr m:val=")"/>
              </m:dPr>
              <m:e>
                <m:r>
                  <w:rPr>
                    <w:rFonts w:ascii="Cambria Math" w:hAnsi="Cambria Math"/>
                  </w:rPr>
                  <m:t xml:space="preserve">Y</m:t>
                </m:r>
                <m:r>
                  <w:rPr>
                    <w:rFonts w:ascii="Cambria Math" w:hAnsi="Cambria Math"/>
                  </w:rPr>
                  <m:t xml:space="preserve">|</m:t>
                </m:r>
                <m:sSub>
                  <m:e>
                    <m:r>
                      <w:rPr>
                        <w:rFonts w:ascii="Cambria Math" w:hAnsi="Cambria Math"/>
                      </w:rPr>
                      <m:t xml:space="preserve">X</m:t>
                    </m:r>
                  </m:e>
                  <m:sub>
                    <m:r>
                      <w:rPr>
                        <w:rFonts w:ascii="Cambria Math" w:hAnsi="Cambria Math"/>
                      </w:rPr>
                      <m:t xml:space="preserve">e</m:t>
                    </m:r>
                  </m:sub>
                </m:sSub>
              </m:e>
            </m:d>
          </m:e>
        </m:d>
        <m:r>
          <w:rPr>
            <w:rFonts w:ascii="Cambria Math" w:hAnsi="Cambria Math"/>
          </w:rPr>
          <m:t xml:space="preserve">+</m:t>
        </m:r>
        <m:r>
          <w:rPr>
            <w:rFonts w:ascii="Cambria Math" w:hAnsi="Cambria Math"/>
          </w:rPr>
          <m:t xml:space="preserve">γ</m:t>
        </m:r>
        <m:r>
          <w:rPr>
            <w:rFonts w:ascii="Cambria Math" w:hAnsi="Cambria Math"/>
          </w:rPr>
          <m:t xml:space="preserve">log</m:t>
        </m:r>
        <m:d>
          <m:dPr>
            <m:begChr m:val="("/>
            <m:endChr m:val=")"/>
          </m:dPr>
          <m:e>
            <m:sSub>
              <m:e>
                <m:r>
                  <w:rPr>
                    <w:rFonts w:ascii="Cambria Math" w:hAnsi="Cambria Math"/>
                  </w:rPr>
                  <m:t xml:space="preserve">p</m:t>
                </m:r>
              </m:e>
              <m:sub>
                <m:r>
                  <w:rPr>
                    <w:rFonts w:ascii="Cambria Math" w:hAnsi="Cambria Math"/>
                  </w:rPr>
                  <m:t xml:space="preserve">lm</m:t>
                </m:r>
              </m:sub>
            </m:sSub>
            <m:d>
              <m:dPr>
                <m:begChr m:val="("/>
                <m:endChr m:val=")"/>
              </m:dPr>
              <m:e>
                <m:r>
                  <w:rPr>
                    <w:rFonts w:ascii="Cambria Math" w:hAnsi="Cambria Math"/>
                  </w:rPr>
                  <m:t xml:space="preserve">Y</m:t>
                </m:r>
              </m:e>
            </m:d>
          </m:e>
        </m:d>
        <m:r>
          <w:rPr>
            <w:rFonts w:ascii="Cambria Math" w:hAnsi="Cambria Math"/>
          </w:rPr>
          <m:t xml:space="preserve">}</m:t>
        </m:r>
      </m:oMath>
    </w:p>
    <w:p>
      <w:pPr>
        <w:pStyle w:val="09BodyFirstParagraph"/>
        <w:rPr/>
      </w:pPr>
      <w:r>
        <w:rPr/>
        <w:t>, (15)</w:t>
      </w:r>
    </w:p>
    <w:p>
      <w:pPr>
        <w:pStyle w:val="09BodyFirstParagraph"/>
        <w:rPr/>
      </w:pPr>
      <w:r>
        <w:rPr/>
        <w:t xml:space="preserve">where </w:t>
      </w:r>
      <w:r>
        <w:rPr/>
      </w:r>
      <m:oMath xmlns:m="http://schemas.openxmlformats.org/officeDocument/2006/math">
        <m:sSup>
          <m:e>
            <m:r>
              <w:rPr>
                <w:rFonts w:ascii="Cambria Math" w:hAnsi="Cambria Math"/>
              </w:rPr>
              <m:t xml:space="preserve">Y</m:t>
            </m:r>
          </m:e>
          <m:sup>
            <m:r>
              <w:rPr>
                <w:rFonts w:ascii="Cambria Math" w:hAnsi="Cambria Math"/>
              </w:rPr>
              <m:t xml:space="preserve">∗</m:t>
            </m:r>
          </m:sup>
        </m:sSup>
      </m:oMath>
      <w:r>
        <w:rPr/>
        <w:t xml:space="preserve">is a set of hypotheses of the target sequence, and </w:t>
      </w:r>
      <w:r>
        <w:rPr/>
      </w:r>
      <m:oMath xmlns:m="http://schemas.openxmlformats.org/officeDocument/2006/math">
        <m:r>
          <w:rPr>
            <w:rFonts w:ascii="Cambria Math" w:hAnsi="Cambria Math"/>
          </w:rPr>
          <m:t xml:space="preserve">γ</m:t>
        </m:r>
      </m:oMath>
      <w:r>
        <w:rPr/>
        <w:t xml:space="preserve">, </w:t>
      </w:r>
      <w:r>
        <w:rPr/>
      </w:r>
      <m:oMath xmlns:m="http://schemas.openxmlformats.org/officeDocument/2006/math">
        <m:r>
          <w:rPr>
            <w:rFonts w:ascii="Cambria Math" w:hAnsi="Cambria Math"/>
          </w:rPr>
          <m:t xml:space="preserve">α</m:t>
        </m:r>
      </m:oMath>
      <w:r>
        <w:rPr/>
        <w:t xml:space="preserve"> are</w:t>
      </w:r>
    </w:p>
    <w:p>
      <w:pPr>
        <w:pStyle w:val="09BodyFirstParagraph"/>
        <w:rPr/>
      </w:pPr>
      <w:r>
        <w:rPr/>
        <w:t>hyperparameters.</w:t>
      </w:r>
    </w:p>
    <w:p>
      <w:pPr>
        <w:pStyle w:val="09BodyFirstParagraph"/>
        <w:rPr/>
      </w:pPr>
      <w:r>
        <w:rPr/>
      </w:r>
    </w:p>
    <w:p>
      <w:pPr>
        <w:pStyle w:val="09BodyFirstParagraph"/>
        <w:rPr/>
      </w:pPr>
      <w:r>
        <w:rPr/>
      </w:r>
    </w:p>
    <w:p>
      <w:pPr>
        <w:pStyle w:val="09BodyFirstParagraph"/>
        <w:rPr/>
      </w:pPr>
      <w:r>
        <w:rPr/>
      </w:r>
    </w:p>
    <w:p>
      <w:pPr>
        <w:pStyle w:val="09BodyFirstParagraph"/>
        <w:rPr/>
      </w:pPr>
      <w:r>
        <w:rPr/>
      </w:r>
    </w:p>
    <w:p>
      <w:pPr>
        <w:pStyle w:val="09BodyFirstParagraph"/>
        <w:rPr/>
      </w:pPr>
      <w:r>
        <w:rPr/>
        <w:t>TBD: use pytorch and tensorboard to visualize network topology</w:t>
      </w:r>
    </w:p>
    <w:p>
      <w:pPr>
        <w:pStyle w:val="09BodyFirstParagraph"/>
        <w:rPr/>
      </w:pPr>
      <w:r>
        <w:rPr/>
      </w:r>
    </w:p>
    <w:p>
      <w:pPr>
        <w:pStyle w:val="09BodyFirstParagraph"/>
        <w:rPr>
          <w:color w:val="182F7C"/>
        </w:rPr>
      </w:pPr>
      <w:r>
        <w:rPr>
          <w:color w:val="182F7C"/>
        </w:rPr>
      </w:r>
    </w:p>
    <w:p>
      <w:pPr>
        <w:pStyle w:val="10BodySubsequentParagraph"/>
        <w:rPr>
          <w:color w:val="182F7C"/>
        </w:rPr>
      </w:pPr>
      <w:r>
        <w:rPr>
          <w:color w:val="182F7C"/>
        </w:rPr>
      </w:r>
    </w:p>
    <w:p>
      <w:pPr>
        <w:pStyle w:val="10BodySubsequentParagraph"/>
        <w:rPr>
          <w:color w:val="182F7C"/>
        </w:rPr>
      </w:pPr>
      <w:r>
        <w:rPr>
          <w:color w:val="182F7C"/>
        </w:rPr>
        <w:drawing>
          <wp:inline distT="0" distB="0" distL="0" distR="0">
            <wp:extent cx="4591050" cy="42672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591050" cy="4267200"/>
                    </a:xfrm>
                    <a:prstGeom prst="rect">
                      <a:avLst/>
                    </a:prstGeom>
                  </pic:spPr>
                </pic:pic>
              </a:graphicData>
            </a:graphic>
          </wp:inline>
        </w:drawing>
      </w:r>
    </w:p>
    <w:p>
      <w:pPr>
        <w:pStyle w:val="10BodySubsequentParagraph"/>
        <w:rPr>
          <w:color w:val="182F7C"/>
        </w:rPr>
      </w:pPr>
      <w:r>
        <w:rPr>
          <w:color w:val="182F7C"/>
        </w:rPr>
      </w:r>
    </w:p>
    <w:p>
      <w:pPr>
        <w:pStyle w:val="08SectionHeader1"/>
        <w:numPr>
          <w:ilvl w:val="0"/>
          <w:numId w:val="3"/>
        </w:numPr>
        <w:rPr/>
      </w:pPr>
      <w:r>
        <w:rPr/>
        <w:t xml:space="preserve">Experiments  </w:t>
      </w:r>
    </w:p>
    <w:p>
      <w:pPr>
        <w:pStyle w:val="09BodyFirstParagraph"/>
        <w:rPr/>
      </w:pPr>
      <w:r>
        <w:rPr/>
        <w:t xml:space="preserve">TBD: </w:t>
      </w:r>
    </w:p>
    <w:p>
      <w:pPr>
        <w:pStyle w:val="09BodyFirstParagraph"/>
        <w:rPr>
          <w:color w:val="182F7C"/>
        </w:rPr>
      </w:pPr>
      <w:r>
        <w:rPr>
          <w:color w:val="182F7C"/>
        </w:rPr>
      </w:r>
    </w:p>
    <w:p>
      <w:pPr>
        <w:pStyle w:val="08SectionHeader1"/>
        <w:numPr>
          <w:ilvl w:val="0"/>
          <w:numId w:val="3"/>
        </w:numPr>
        <w:rPr/>
      </w:pPr>
      <w:r>
        <w:rPr/>
        <w:t xml:space="preserve">Data Sets </w:t>
      </w:r>
    </w:p>
    <w:p>
      <w:pPr>
        <w:pStyle w:val="09BodyFirstParagraph"/>
        <w:rPr/>
      </w:pPr>
      <w:r>
        <w:rPr/>
        <w:t xml:space="preserve">TBD: put a table presenting all used datasets and their characteristics, </w:t>
      </w:r>
    </w:p>
    <w:p>
      <w:pPr>
        <w:pStyle w:val="09BodyFirstParagraph"/>
        <w:rPr/>
      </w:pPr>
      <w:r>
        <w:rPr/>
        <w:t xml:space="preserve">Inspect the datasets: the audios, the transcripts </w:t>
      </w:r>
    </w:p>
    <w:p>
      <w:pPr>
        <w:pStyle w:val="09BodyFirstParagraph"/>
        <w:rPr/>
      </w:pPr>
      <w:r>
        <w:rPr/>
        <w:t xml:space="preserve">Common Voice contains 148375 utterances, </w:t>
      </w:r>
      <w:r>
        <w:rPr/>
        <w:t>120 hours, # speakers</w:t>
      </w:r>
    </w:p>
    <w:p>
      <w:pPr>
        <w:pStyle w:val="09BodyFirstParagraph"/>
        <w:rPr/>
      </w:pPr>
      <w:r>
        <w:rPr/>
        <w:t xml:space="preserve">Gong Unsupervised </w:t>
      </w:r>
    </w:p>
    <w:p>
      <w:pPr>
        <w:pStyle w:val="08SectionHeader1"/>
        <w:numPr>
          <w:ilvl w:val="0"/>
          <w:numId w:val="0"/>
        </w:numPr>
        <w:ind w:left="360" w:hanging="0"/>
        <w:rPr>
          <w:color w:val="182F7C"/>
        </w:rPr>
      </w:pPr>
      <w:r>
        <w:rPr>
          <w:color w:val="182F7C"/>
        </w:rPr>
      </w:r>
    </w:p>
    <w:p>
      <w:pPr>
        <w:pStyle w:val="08SectionHeader1"/>
        <w:numPr>
          <w:ilvl w:val="0"/>
          <w:numId w:val="3"/>
        </w:numPr>
        <w:rPr/>
      </w:pPr>
      <w:r>
        <w:rPr/>
        <w:t xml:space="preserve">Parameters and Optimizations  </w:t>
      </w:r>
    </w:p>
    <w:p>
      <w:pPr>
        <w:pStyle w:val="09BodyFirstParagraph"/>
        <w:rPr/>
      </w:pPr>
      <w:r>
        <w:rPr/>
        <w:t>TBD:</w:t>
      </w:r>
    </w:p>
    <w:p>
      <w:pPr>
        <w:pStyle w:val="09BodyFirstParagraph"/>
        <w:rPr/>
      </w:pPr>
      <w:r>
        <w:rPr/>
        <w:t>elayers: 12</w:t>
      </w:r>
    </w:p>
    <w:p>
      <w:pPr>
        <w:pStyle w:val="09BodyFirstParagraph"/>
        <w:rPr/>
      </w:pPr>
      <w:r>
        <w:rPr/>
        <w:t>dlayers: 6</w:t>
      </w:r>
    </w:p>
    <w:p>
      <w:pPr>
        <w:pStyle w:val="09BodyFirstParagraph"/>
        <w:rPr/>
      </w:pPr>
      <w:r>
        <w:rPr/>
        <w:t>dunits: 2048, eunits: 2048 (feed-forward dimentions)</w:t>
      </w:r>
    </w:p>
    <w:p>
      <w:pPr>
        <w:pStyle w:val="09BodyFirstParagraph"/>
        <w:rPr/>
      </w:pPr>
      <w:r>
        <w:rPr/>
        <w:t>adim: 512 (attention dimention)</w:t>
      </w:r>
    </w:p>
    <w:p>
      <w:pPr>
        <w:pStyle w:val="09BodyFirstParagraph"/>
        <w:rPr/>
      </w:pPr>
      <w:r>
        <w:rPr/>
        <w:t>aheads: 8 (number of attention heads)</w:t>
      </w:r>
    </w:p>
    <w:p>
      <w:pPr>
        <w:pStyle w:val="09BodyFirstParagraph"/>
        <w:rPr/>
      </w:pPr>
      <w:r>
        <w:rPr/>
      </w:r>
    </w:p>
    <w:p>
      <w:pPr>
        <w:pStyle w:val="09BodyFirstParagraph"/>
        <w:jc w:val="left"/>
        <w:rPr/>
      </w:pPr>
      <w:r>
        <w:rPr/>
        <w:t xml:space="preserve">accum_grad: 4   see [“Scaling Neural Machine Translation”], </w:t>
      </w:r>
      <w:hyperlink r:id="rId4">
        <w:r>
          <w:rPr>
            <w:rStyle w:val="InternetLink"/>
          </w:rPr>
          <w:t>https://github.com/pytorch/fairseq/blob/master/examples/scaling_nmt/README.md</w:t>
        </w:r>
      </w:hyperlink>
      <w:r>
        <w:rPr/>
        <w:t xml:space="preserve"> </w:t>
      </w:r>
    </w:p>
    <w:p>
      <w:pPr>
        <w:pStyle w:val="09BodyFirstParagraph"/>
        <w:jc w:val="left"/>
        <w:rPr/>
      </w:pPr>
      <w:r>
        <w:rPr/>
      </w:r>
    </w:p>
    <w:p>
      <w:pPr>
        <w:pStyle w:val="09BodyFirstParagraph"/>
        <w:jc w:val="left"/>
        <w:rPr/>
      </w:pPr>
      <w:r>
        <w:rPr/>
      </w:r>
    </w:p>
    <w:p>
      <w:pPr>
        <w:pStyle w:val="09BodyFirstParagraph"/>
        <w:jc w:val="left"/>
        <w:rPr/>
      </w:pPr>
      <w:r>
        <w:rPr/>
        <w:t>see [</w:t>
      </w:r>
      <w:r>
        <w:rPr/>
        <w:t>“SPEECH-TRANSFORMER: A NO-RECURRENCE SEQUENCE-TO-SEQUENCE MODEL FOR SPEECH RECOGNITION”, L. Dong et al.</w:t>
      </w:r>
      <w:r>
        <w:rPr/>
        <w:t>] for the selection of the following params</w:t>
      </w:r>
    </w:p>
    <w:p>
      <w:pPr>
        <w:pStyle w:val="09BodyFirstParagraph"/>
        <w:jc w:val="left"/>
        <w:rPr/>
      </w:pPr>
      <w:r>
        <w:rPr/>
        <w:t>dropout-rate: 0.1</w:t>
      </w:r>
    </w:p>
    <w:p>
      <w:pPr>
        <w:pStyle w:val="09BodyFirstParagraph"/>
        <w:jc w:val="left"/>
        <w:rPr/>
      </w:pPr>
      <w:r>
        <w:rPr/>
        <w:t>transformer-lr: 10.0</w:t>
      </w:r>
    </w:p>
    <w:p>
      <w:pPr>
        <w:pStyle w:val="09BodyFirstParagraph"/>
        <w:jc w:val="left"/>
        <w:rPr/>
      </w:pPr>
      <w:r>
        <w:rPr/>
        <w:t>transformer-warmup-steps: 25000</w:t>
      </w:r>
    </w:p>
    <w:p>
      <w:pPr>
        <w:pStyle w:val="09BodyFirstParagraph"/>
        <w:jc w:val="left"/>
        <w:rPr/>
      </w:pPr>
      <w:r>
        <w:rPr/>
      </w:r>
    </w:p>
    <w:p>
      <w:pPr>
        <w:pStyle w:val="09BodyFirstParagraph"/>
        <w:jc w:val="left"/>
        <w:rPr/>
      </w:pPr>
      <w:r>
        <w:rPr/>
      </w:r>
    </w:p>
    <w:p>
      <w:pPr>
        <w:pStyle w:val="09BodyFirstParagraph"/>
        <w:rPr>
          <w:color w:val="182F7C"/>
        </w:rPr>
      </w:pPr>
      <w:r>
        <w:rPr>
          <w:color w:val="182F7C"/>
        </w:rPr>
      </w:r>
    </w:p>
    <w:p>
      <w:pPr>
        <w:pStyle w:val="08SectionHeader1"/>
        <w:numPr>
          <w:ilvl w:val="0"/>
          <w:numId w:val="3"/>
        </w:numPr>
        <w:rPr/>
      </w:pPr>
      <w:r>
        <w:rPr/>
        <w:t>Model Tuning  for Gong Data</w:t>
      </w:r>
    </w:p>
    <w:p>
      <w:pPr>
        <w:pStyle w:val="09BodyFirstParagraph"/>
        <w:rPr/>
      </w:pPr>
      <w:r>
        <w:rPr/>
        <w:t>TBD:</w:t>
      </w:r>
    </w:p>
    <w:p>
      <w:pPr>
        <w:pStyle w:val="10BodySubsequentParagraph"/>
        <w:rPr/>
      </w:pPr>
      <w:r>
        <w:rPr>
          <w:color w:val="182F7C"/>
        </w:rPr>
        <w:t xml:space="preserve"> </w:t>
      </w:r>
    </w:p>
    <w:p>
      <w:pPr>
        <w:pStyle w:val="10BodySubsequentParagraph"/>
        <w:rPr>
          <w:color w:val="182F7C"/>
        </w:rPr>
      </w:pPr>
      <w:r>
        <w:rPr>
          <w:color w:val="182F7C"/>
        </w:rPr>
      </w:r>
    </w:p>
    <w:p>
      <w:pPr>
        <w:pStyle w:val="08SectionHeader1"/>
        <w:numPr>
          <w:ilvl w:val="0"/>
          <w:numId w:val="3"/>
        </w:numPr>
        <w:rPr/>
      </w:pPr>
      <w:r>
        <w:rPr/>
        <w:t>Lab Journal  / Training Details</w:t>
      </w:r>
    </w:p>
    <w:p>
      <w:pPr>
        <w:pStyle w:val="09BodyFirstParagraph"/>
        <w:rPr/>
      </w:pPr>
      <w:r>
        <w:rPr/>
        <w:t xml:space="preserve">TBD: </w:t>
      </w:r>
      <w:r>
        <w:rPr>
          <w:color w:val="182F7C"/>
        </w:rPr>
        <w:t xml:space="preserve"> </w:t>
      </w:r>
    </w:p>
    <w:p>
      <w:pPr>
        <w:pStyle w:val="09BodyFirstParagraph"/>
        <w:rPr/>
      </w:pPr>
      <w:r>
        <w:rPr>
          <w:color w:val="182F7C"/>
        </w:rPr>
        <w:t xml:space="preserve">ESPnet tutorial: </w:t>
      </w:r>
      <w:hyperlink r:id="rId5">
        <w:r>
          <w:rPr>
            <w:rStyle w:val="InternetLink"/>
            <w:color w:val="182F7C"/>
          </w:rPr>
          <w:t>https://hackmd.io/s/rJ6TDZPeQ</w:t>
        </w:r>
      </w:hyperlink>
    </w:p>
    <w:p>
      <w:pPr>
        <w:pStyle w:val="10BodySubsequentParagraph"/>
        <w:rPr>
          <w:color w:val="182F7C"/>
        </w:rPr>
      </w:pPr>
      <w:r>
        <w:rPr>
          <w:color w:val="182F7C"/>
        </w:rPr>
      </w:r>
    </w:p>
    <w:p>
      <w:pPr>
        <w:pStyle w:val="10BodySubsequentParagraph"/>
        <w:rPr>
          <w:color w:val="182F7C"/>
        </w:rPr>
      </w:pPr>
      <w:r>
        <w:rPr>
          <w:color w:val="182F7C"/>
        </w:rPr>
      </w:r>
    </w:p>
    <w:p>
      <w:pPr>
        <w:pStyle w:val="08SectionHeader1"/>
        <w:numPr>
          <w:ilvl w:val="0"/>
          <w:numId w:val="3"/>
        </w:numPr>
        <w:rPr/>
      </w:pPr>
      <w:r>
        <w:rPr/>
        <w:t>Results</w:t>
      </w:r>
    </w:p>
    <w:p>
      <w:pPr>
        <w:pStyle w:val="08SectionHeader1"/>
        <w:rPr>
          <w:b w:val="false"/>
          <w:b w:val="false"/>
          <w:bCs w:val="false"/>
        </w:rPr>
      </w:pPr>
      <w:r>
        <w:rPr>
          <w:b w:val="false"/>
          <w:bCs w:val="false"/>
        </w:rPr>
        <w:t>TBD:</w:t>
      </w:r>
    </w:p>
    <w:p>
      <w:pPr>
        <w:pStyle w:val="08SectionHeader1"/>
        <w:rPr>
          <w:b w:val="false"/>
          <w:b w:val="false"/>
          <w:bCs w:val="false"/>
        </w:rPr>
      </w:pPr>
      <w:r>
        <w:rPr>
          <w:b w:val="false"/>
          <w:bCs w:val="false"/>
        </w:rPr>
        <w:t xml:space="preserve">Publicly known results </w:t>
      </w:r>
    </w:p>
    <w:p>
      <w:pPr>
        <w:pStyle w:val="08SectionHeader1"/>
        <w:rPr>
          <w:b w:val="false"/>
          <w:b w:val="false"/>
          <w:bCs w:val="false"/>
        </w:rPr>
      </w:pPr>
      <w:r>
        <w:fldChar w:fldCharType="begin"/>
      </w:r>
      <w:r>
        <w:rPr>
          <w:rStyle w:val="InternetLink"/>
          <w:b w:val="false"/>
          <w:bCs w:val="false"/>
        </w:rPr>
        <w:instrText> HYPERLINK "https://github.com/espnet/espnet" \l "asr-results"</w:instrText>
      </w:r>
      <w:r>
        <w:rPr>
          <w:rStyle w:val="InternetLink"/>
          <w:b w:val="false"/>
          <w:bCs w:val="false"/>
        </w:rPr>
        <w:fldChar w:fldCharType="separate"/>
      </w:r>
      <w:r>
        <w:rPr>
          <w:rStyle w:val="InternetLink"/>
          <w:b w:val="false"/>
          <w:bCs w:val="false"/>
        </w:rPr>
        <w:t>https://github.com/espnet/espnet#asr-results</w:t>
      </w:r>
      <w:r>
        <w:rPr>
          <w:rStyle w:val="InternetLink"/>
          <w:b w:val="false"/>
          <w:bCs w:val="false"/>
        </w:rPr>
        <w:fldChar w:fldCharType="end"/>
      </w:r>
    </w:p>
    <w:p>
      <w:pPr>
        <w:pStyle w:val="08SectionHeader1"/>
        <w:rPr>
          <w:b w:val="false"/>
          <w:b w:val="false"/>
          <w:bCs w:val="false"/>
        </w:rPr>
      </w:pPr>
      <w:r>
        <w:rPr>
          <w:b w:val="false"/>
          <w:bCs w:val="false"/>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4791710" cy="5478780"/>
            <wp:effectExtent l="0" t="0" r="0" b="0"/>
            <wp:wrapTopAndBottom/>
            <wp:docPr id="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 descr=""/>
                    <pic:cNvPicPr>
                      <a:picLocks noChangeAspect="1" noChangeArrowheads="1"/>
                    </pic:cNvPicPr>
                  </pic:nvPicPr>
                  <pic:blipFill>
                    <a:blip r:embed="rId6"/>
                    <a:stretch>
                      <a:fillRect/>
                    </a:stretch>
                  </pic:blipFill>
                  <pic:spPr bwMode="auto">
                    <a:xfrm>
                      <a:off x="0" y="0"/>
                      <a:ext cx="4791710" cy="5478780"/>
                    </a:xfrm>
                    <a:prstGeom prst="rect">
                      <a:avLst/>
                    </a:prstGeom>
                  </pic:spPr>
                </pic:pic>
              </a:graphicData>
            </a:graphic>
          </wp:anchor>
        </w:drawing>
      </w:r>
    </w:p>
    <w:p>
      <w:pPr>
        <w:pStyle w:val="08SectionHeader1"/>
        <w:rPr/>
      </w:pPr>
      <w:r>
        <w:rPr/>
      </w:r>
    </w:p>
    <w:p>
      <w:pPr>
        <w:pStyle w:val="08SectionHeader1"/>
        <w:rPr/>
      </w:pPr>
      <w:r>
        <w:rPr/>
      </w:r>
    </w:p>
    <w:p>
      <w:pPr>
        <w:pStyle w:val="08SectionHeader1"/>
        <w:rPr/>
      </w:pPr>
      <w:r>
        <w:rPr/>
      </w:r>
    </w:p>
    <w:p>
      <w:pPr>
        <w:pStyle w:val="08SectionHeader1"/>
        <w:numPr>
          <w:ilvl w:val="0"/>
          <w:numId w:val="3"/>
        </w:numPr>
        <w:rPr/>
      </w:pPr>
      <w:r>
        <w:rPr/>
        <w:t xml:space="preserve">Discussion  </w:t>
      </w:r>
    </w:p>
    <w:p>
      <w:pPr>
        <w:pStyle w:val="09BodyFirstParagraph"/>
        <w:rPr/>
      </w:pPr>
      <w:r>
        <w:rPr/>
        <w:t xml:space="preserve">TBD: </w:t>
      </w:r>
      <w:r>
        <w:rPr>
          <w:color w:val="182F7C"/>
        </w:rPr>
        <w:t xml:space="preserve"> </w:t>
      </w:r>
    </w:p>
    <w:p>
      <w:pPr>
        <w:pStyle w:val="10BodySubsequentParagraph"/>
        <w:rPr>
          <w:color w:val="182F7C"/>
        </w:rPr>
      </w:pPr>
      <w:r>
        <w:rPr>
          <w:color w:val="182F7C"/>
        </w:rPr>
      </w:r>
    </w:p>
    <w:p>
      <w:pPr>
        <w:pStyle w:val="10BodySubsequentParagraph"/>
        <w:rPr>
          <w:color w:val="182F7C"/>
        </w:rPr>
      </w:pPr>
      <w:r>
        <w:rPr>
          <w:color w:val="182F7C"/>
        </w:rPr>
      </w:r>
    </w:p>
    <w:p>
      <w:pPr>
        <w:pStyle w:val="08SectionHeader1"/>
        <w:numPr>
          <w:ilvl w:val="0"/>
          <w:numId w:val="3"/>
        </w:numPr>
        <w:rPr/>
      </w:pPr>
      <w:r>
        <w:rPr/>
        <w:t>Conclusion and Future Work</w:t>
      </w:r>
    </w:p>
    <w:p>
      <w:pPr>
        <w:pStyle w:val="09BodyFirstParagraph"/>
        <w:rPr/>
      </w:pPr>
      <w:r>
        <w:rPr/>
        <w:t xml:space="preserve">In this paper, we </w:t>
      </w:r>
      <w:r>
        <w:rPr/>
        <w:t xml:space="preserve">evaluated... </w:t>
      </w:r>
    </w:p>
    <w:p>
      <w:pPr>
        <w:pStyle w:val="09BodyFirstParagraph"/>
        <w:rPr/>
      </w:pPr>
      <w:r>
        <w:rPr/>
        <w:t>Future work:</w:t>
      </w:r>
    </w:p>
    <w:p>
      <w:pPr>
        <w:pStyle w:val="09BodyFirstParagraph"/>
        <w:rPr/>
      </w:pPr>
      <w:r>
        <w:rPr/>
        <w:t>1) make comparison with other publicly available frameworks and network architectures in terms of WER and inference time</w:t>
      </w:r>
    </w:p>
    <w:p>
      <w:pPr>
        <w:pStyle w:val="09BodyFirstParagraph"/>
        <w:rPr/>
      </w:pPr>
      <w:r>
        <w:rPr/>
        <w:t xml:space="preserve">2) Improve the inference time based on ideas from “STREAMING AUTOMATIC SPEECH RECOGNITION WITH THE TRANSFORMER MODEL”, N. Moritz et al. </w:t>
      </w:r>
      <w:r>
        <w:rPr/>
        <w:t>and “Triggered attention for end-to-end speech recognition” N. Moritz</w:t>
      </w:r>
    </w:p>
    <w:p>
      <w:pPr>
        <w:pStyle w:val="09BodyFirstParagraph"/>
        <w:rPr/>
      </w:pPr>
      <w:r>
        <w:rPr/>
        <w:t xml:space="preserve">or </w:t>
      </w:r>
      <w:r>
        <w:rPr/>
        <w:t xml:space="preserve">find </w:t>
      </w:r>
      <w:r>
        <w:rPr/>
        <w:t xml:space="preserve">others </w:t>
      </w:r>
      <w:r>
        <w:rPr/>
        <w:t>ideas</w:t>
      </w:r>
      <w:r>
        <w:rPr/>
        <w:t>.</w:t>
      </w:r>
    </w:p>
    <w:p>
      <w:pPr>
        <w:pStyle w:val="09BodyFirstParagraph"/>
        <w:rPr/>
      </w:pPr>
      <w:r>
        <w:rPr/>
      </w:r>
    </w:p>
    <w:p>
      <w:pPr>
        <w:pStyle w:val="08SectionHeader1"/>
        <w:numPr>
          <w:ilvl w:val="0"/>
          <w:numId w:val="3"/>
        </w:numPr>
        <w:rPr/>
      </w:pPr>
      <w:r>
        <w:rPr/>
        <w:t>Typographical style</w:t>
      </w:r>
    </w:p>
    <w:p>
      <w:pPr>
        <w:pStyle w:val="10BodySubsequentParagraph"/>
        <w:rPr/>
      </w:pPr>
      <w:r>
        <w:rPr/>
        <w:t xml:space="preserve"> </w:t>
      </w:r>
    </w:p>
    <w:p>
      <w:pPr>
        <w:pStyle w:val="08SectionHeader11"/>
        <w:numPr>
          <w:ilvl w:val="0"/>
          <w:numId w:val="3"/>
        </w:numPr>
        <w:rPr/>
      </w:pPr>
      <w:r>
        <w:rPr/>
        <w:t xml:space="preserve">Figures, supplementary materials, and tables </w:t>
      </w:r>
    </w:p>
    <w:p>
      <w:pPr>
        <w:pStyle w:val="08SectionHeader2"/>
        <w:rPr/>
      </w:pPr>
      <w:r>
        <w:rPr/>
        <w:t>4.1 Figures</w:t>
      </w:r>
    </w:p>
    <w:p>
      <w:pPr>
        <w:pStyle w:val="09BodyFirstParagraph"/>
        <w:rPr/>
      </w:pPr>
      <w:r>
        <w:rPr/>
        <w:t xml:space="preserve">Figures should be included directly in the document. All illustrations must be numbered consecutively (i.e., not by section) with Arabic numbers. The size of a figure should be commensurate with the amount and value of the information conveyed by the figure. </w:t>
      </w:r>
    </w:p>
    <w:p>
      <w:pPr>
        <w:pStyle w:val="10BodySubsequentParagraph"/>
        <w:rPr/>
      </w:pPr>
      <w:r>
        <w:rPr>
          <w:color w:val="00000A"/>
        </w:rPr>
        <w:t xml:space="preserve">Authors must use one image file per figure. Figures must be inserted as objects that are fixed and move with the text, not as floating objects. Figures should never be placed in a table environment, embedded inside the text, or included within a list. </w:t>
      </w:r>
      <w:r>
        <w:rPr/>
        <w:t>All the figures should be centered. No part of a figure should go beyond the typing area. Place figures as closely as possible to where they are mentioned in the text. Figures should be numbered consecutively in the order of appearance and citation in the text. Be sure to cite every figure.</w:t>
      </w:r>
    </w:p>
    <w:p>
      <w:pPr>
        <w:pStyle w:val="10BodySubsequentParagraph"/>
        <w:rPr/>
      </w:pPr>
      <w:r>
        <w:rPr/>
        <w:t xml:space="preserve">The abbreviation “Fig.” for figure should appear first followed by the figure number and a period. </w:t>
      </w:r>
    </w:p>
    <w:p>
      <w:pPr>
        <w:pStyle w:val="11Figure"/>
        <w:rPr/>
      </w:pPr>
      <w:r>
        <w:rPr/>
        <w:drawing>
          <wp:inline distT="0" distB="0" distL="0" distR="0">
            <wp:extent cx="1550670" cy="1550670"/>
            <wp:effectExtent l="0" t="0" r="0" b="0"/>
            <wp:docPr id="4" name="Picture 3" descr="opex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opexfig1"/>
                    <pic:cNvPicPr>
                      <a:picLocks noChangeAspect="1" noChangeArrowheads="1"/>
                    </pic:cNvPicPr>
                  </pic:nvPicPr>
                  <pic:blipFill>
                    <a:blip r:embed="rId7"/>
                    <a:stretch>
                      <a:fillRect/>
                    </a:stretch>
                  </pic:blipFill>
                  <pic:spPr bwMode="auto">
                    <a:xfrm>
                      <a:off x="0" y="0"/>
                      <a:ext cx="1550670" cy="1550670"/>
                    </a:xfrm>
                    <a:prstGeom prst="rect">
                      <a:avLst/>
                    </a:prstGeom>
                  </pic:spPr>
                </pic:pic>
              </a:graphicData>
            </a:graphic>
          </wp:inline>
        </w:drawing>
      </w:r>
    </w:p>
    <w:p>
      <w:pPr>
        <w:pStyle w:val="12FigureCaptionShort"/>
        <w:rPr/>
      </w:pPr>
      <w:r>
        <w:rPr/>
        <w:t>Fig. 1. Sample caption (Ref. [4], Fig. 2).</w:t>
      </w:r>
    </w:p>
    <w:p>
      <w:pPr>
        <w:pStyle w:val="10BodySubsequentParagraph"/>
        <w:rPr/>
      </w:pPr>
      <w:r>
        <w:rPr/>
      </w:r>
    </w:p>
    <w:p>
      <w:pPr>
        <w:pStyle w:val="10BodySubsequentParagraph"/>
        <w:rPr/>
      </w:pPr>
      <w:r>
        <w:rPr/>
      </w:r>
    </w:p>
    <w:p>
      <w:pPr>
        <w:pStyle w:val="08SectionHeader2"/>
        <w:rPr/>
      </w:pPr>
      <w:r>
        <w:rPr/>
        <w:t>4.3 Tables</w:t>
      </w:r>
    </w:p>
    <w:p>
      <w:pPr>
        <w:pStyle w:val="09BodyFirstParagraph"/>
        <w:rPr/>
      </w:pPr>
      <w:r>
        <w:rPr/>
        <w:t xml:space="preserve">Tables should be centered and numbered consecutively. </w:t>
      </w:r>
      <w:r>
        <w:rPr>
          <w:color w:val="00000A"/>
        </w:rPr>
        <w:t xml:space="preserve">Authors must use Word’s Table editor to insert tables. Authors must not import tables from Excel. All content for each table should be in a single Word table (do not split content for a single table across multiple Word tables). </w:t>
      </w:r>
      <w:r>
        <w:rPr/>
        <w:t xml:space="preserve">Tables should use horizontal lines to delimit the top and bottom of the table and column headings. Detailed explanations or table footnotes should be typed directly beneath the table, but not in a table cell. Table footnote labels should be alphabetical; numbers or special characters are not permitted. Position tables as closely as possible to where they are mentioned in the main text. </w:t>
      </w:r>
    </w:p>
    <w:p>
      <w:pPr>
        <w:pStyle w:val="14TableCaption"/>
        <w:rPr/>
      </w:pPr>
      <w:r>
        <w:rPr/>
        <w:t>Table 2. Optical Constants of Thin Films of Materials</w:t>
      </w:r>
      <w:r>
        <w:rPr>
          <w:i/>
          <w:vertAlign w:val="superscript"/>
        </w:rPr>
        <w:t>a</w:t>
      </w:r>
    </w:p>
    <w:tbl>
      <w:tblPr>
        <w:tblW w:w="4556" w:type="dxa"/>
        <w:jc w:val="center"/>
        <w:tblInd w:w="0" w:type="dxa"/>
        <w:tblBorders>
          <w:top w:val="single" w:sz="4" w:space="0" w:color="00000A"/>
        </w:tblBorders>
        <w:tblCellMar>
          <w:top w:w="0" w:type="dxa"/>
          <w:left w:w="113" w:type="dxa"/>
          <w:bottom w:w="0" w:type="dxa"/>
          <w:right w:w="108" w:type="dxa"/>
        </w:tblCellMar>
        <w:tblLook w:noVBand="0" w:val="0000" w:noHBand="0" w:lastColumn="0" w:firstColumn="0" w:lastRow="0" w:firstRow="0"/>
      </w:tblPr>
      <w:tblGrid>
        <w:gridCol w:w="976"/>
        <w:gridCol w:w="880"/>
        <w:gridCol w:w="810"/>
        <w:gridCol w:w="269"/>
        <w:gridCol w:w="829"/>
        <w:gridCol w:w="791"/>
      </w:tblGrid>
      <w:tr>
        <w:trPr>
          <w:cantSplit w:val="true"/>
        </w:trPr>
        <w:tc>
          <w:tcPr>
            <w:tcW w:w="976" w:type="dxa"/>
            <w:tcBorders>
              <w:top w:val="single" w:sz="4" w:space="0" w:color="00000A"/>
            </w:tcBorders>
            <w:shd w:fill="auto" w:val="clear"/>
            <w:vAlign w:val="bottom"/>
          </w:tcPr>
          <w:p>
            <w:pPr>
              <w:pStyle w:val="15TableBody"/>
              <w:spacing w:before="0" w:after="80"/>
              <w:rPr/>
            </w:pPr>
            <w:r>
              <w:rPr/>
            </w:r>
          </w:p>
        </w:tc>
        <w:tc>
          <w:tcPr>
            <w:tcW w:w="1690" w:type="dxa"/>
            <w:gridSpan w:val="2"/>
            <w:tcBorders>
              <w:top w:val="single" w:sz="4" w:space="0" w:color="00000A"/>
              <w:bottom w:val="single" w:sz="4" w:space="0" w:color="00000A"/>
              <w:insideH w:val="single" w:sz="4" w:space="0" w:color="00000A"/>
            </w:tcBorders>
            <w:shd w:fill="auto" w:val="clear"/>
            <w:vAlign w:val="bottom"/>
          </w:tcPr>
          <w:p>
            <w:pPr>
              <w:pStyle w:val="15TableBody"/>
              <w:spacing w:before="0" w:after="80"/>
              <w:rPr/>
            </w:pPr>
            <w:r>
              <w:rPr/>
              <w:t>83.4 nm</w:t>
            </w:r>
          </w:p>
        </w:tc>
        <w:tc>
          <w:tcPr>
            <w:tcW w:w="269" w:type="dxa"/>
            <w:tcBorders>
              <w:top w:val="single" w:sz="4" w:space="0" w:color="00000A"/>
            </w:tcBorders>
            <w:shd w:fill="auto" w:val="clear"/>
            <w:vAlign w:val="bottom"/>
          </w:tcPr>
          <w:p>
            <w:pPr>
              <w:pStyle w:val="15TableBody"/>
              <w:spacing w:before="0" w:after="80"/>
              <w:rPr/>
            </w:pPr>
            <w:r>
              <w:rPr/>
            </w:r>
          </w:p>
        </w:tc>
        <w:tc>
          <w:tcPr>
            <w:tcW w:w="1620" w:type="dxa"/>
            <w:gridSpan w:val="2"/>
            <w:tcBorders>
              <w:top w:val="single" w:sz="4" w:space="0" w:color="00000A"/>
              <w:bottom w:val="single" w:sz="4" w:space="0" w:color="00000A"/>
              <w:insideH w:val="single" w:sz="4" w:space="0" w:color="00000A"/>
            </w:tcBorders>
            <w:shd w:fill="auto" w:val="clear"/>
            <w:vAlign w:val="bottom"/>
          </w:tcPr>
          <w:p>
            <w:pPr>
              <w:pStyle w:val="15TableBody"/>
              <w:spacing w:before="0" w:after="80"/>
              <w:rPr/>
            </w:pPr>
            <w:r>
              <w:rPr/>
              <w:t>121.6 nm</w:t>
            </w:r>
          </w:p>
        </w:tc>
      </w:tr>
      <w:tr>
        <w:trPr>
          <w:cantSplit w:val="true"/>
        </w:trPr>
        <w:tc>
          <w:tcPr>
            <w:tcW w:w="976" w:type="dxa"/>
            <w:tcBorders>
              <w:bottom w:val="single" w:sz="4" w:space="0" w:color="00000A"/>
              <w:insideH w:val="single" w:sz="4" w:space="0" w:color="00000A"/>
            </w:tcBorders>
            <w:shd w:fill="auto" w:val="clear"/>
            <w:vAlign w:val="bottom"/>
          </w:tcPr>
          <w:p>
            <w:pPr>
              <w:pStyle w:val="15TableBody"/>
              <w:spacing w:before="0" w:after="80"/>
              <w:rPr/>
            </w:pPr>
            <w:r>
              <w:rPr/>
              <w:t>Material</w:t>
            </w:r>
          </w:p>
        </w:tc>
        <w:tc>
          <w:tcPr>
            <w:tcW w:w="880" w:type="dxa"/>
            <w:tcBorders>
              <w:top w:val="single" w:sz="4" w:space="0" w:color="00000A"/>
              <w:bottom w:val="single" w:sz="4" w:space="0" w:color="00000A"/>
              <w:insideH w:val="single" w:sz="4" w:space="0" w:color="00000A"/>
            </w:tcBorders>
            <w:shd w:fill="auto" w:val="clear"/>
            <w:vAlign w:val="bottom"/>
          </w:tcPr>
          <w:p>
            <w:pPr>
              <w:pStyle w:val="15TableBody"/>
              <w:spacing w:before="0" w:after="80"/>
              <w:rPr/>
            </w:pPr>
            <w:r>
              <w:rPr/>
              <w:t>n</w:t>
            </w:r>
          </w:p>
        </w:tc>
        <w:tc>
          <w:tcPr>
            <w:tcW w:w="810" w:type="dxa"/>
            <w:tcBorders>
              <w:top w:val="single" w:sz="4" w:space="0" w:color="00000A"/>
              <w:bottom w:val="single" w:sz="4" w:space="0" w:color="00000A"/>
              <w:insideH w:val="single" w:sz="4" w:space="0" w:color="00000A"/>
            </w:tcBorders>
            <w:shd w:fill="auto" w:val="clear"/>
            <w:vAlign w:val="bottom"/>
          </w:tcPr>
          <w:p>
            <w:pPr>
              <w:pStyle w:val="15TableBody"/>
              <w:spacing w:before="0" w:after="80"/>
              <w:rPr/>
            </w:pPr>
            <w:r>
              <w:rPr/>
              <w:t>K</w:t>
            </w:r>
          </w:p>
        </w:tc>
        <w:tc>
          <w:tcPr>
            <w:tcW w:w="269" w:type="dxa"/>
            <w:tcBorders>
              <w:bottom w:val="single" w:sz="4" w:space="0" w:color="00000A"/>
              <w:insideH w:val="single" w:sz="4" w:space="0" w:color="00000A"/>
            </w:tcBorders>
            <w:shd w:fill="auto" w:val="clear"/>
            <w:vAlign w:val="bottom"/>
          </w:tcPr>
          <w:p>
            <w:pPr>
              <w:pStyle w:val="15TableBody"/>
              <w:spacing w:before="0" w:after="80"/>
              <w:rPr>
                <w:i/>
                <w:i/>
              </w:rPr>
            </w:pPr>
            <w:r>
              <w:rPr>
                <w:i/>
              </w:rPr>
            </w:r>
          </w:p>
        </w:tc>
        <w:tc>
          <w:tcPr>
            <w:tcW w:w="829" w:type="dxa"/>
            <w:tcBorders>
              <w:bottom w:val="single" w:sz="4" w:space="0" w:color="00000A"/>
              <w:insideH w:val="single" w:sz="4" w:space="0" w:color="00000A"/>
            </w:tcBorders>
            <w:shd w:fill="auto" w:val="clear"/>
            <w:vAlign w:val="bottom"/>
          </w:tcPr>
          <w:p>
            <w:pPr>
              <w:pStyle w:val="15TableBody"/>
              <w:spacing w:before="0" w:after="80"/>
              <w:rPr/>
            </w:pPr>
            <w:r>
              <w:rPr/>
              <w:t>n</w:t>
            </w:r>
          </w:p>
        </w:tc>
        <w:tc>
          <w:tcPr>
            <w:tcW w:w="791" w:type="dxa"/>
            <w:tcBorders>
              <w:top w:val="single" w:sz="4" w:space="0" w:color="00000A"/>
              <w:bottom w:val="single" w:sz="4" w:space="0" w:color="00000A"/>
              <w:insideH w:val="single" w:sz="4" w:space="0" w:color="00000A"/>
            </w:tcBorders>
            <w:shd w:fill="auto" w:val="clear"/>
            <w:vAlign w:val="bottom"/>
          </w:tcPr>
          <w:p>
            <w:pPr>
              <w:pStyle w:val="15TableBody"/>
              <w:spacing w:before="0" w:after="80"/>
              <w:rPr/>
            </w:pPr>
            <w:r>
              <w:rPr/>
              <w:t>k</w:t>
            </w:r>
          </w:p>
        </w:tc>
      </w:tr>
      <w:tr>
        <w:trPr>
          <w:cantSplit w:val="true"/>
        </w:trPr>
        <w:tc>
          <w:tcPr>
            <w:tcW w:w="976" w:type="dxa"/>
            <w:tcBorders>
              <w:top w:val="single" w:sz="4" w:space="0" w:color="00000A"/>
            </w:tcBorders>
            <w:shd w:fill="auto" w:val="clear"/>
            <w:vAlign w:val="bottom"/>
          </w:tcPr>
          <w:p>
            <w:pPr>
              <w:pStyle w:val="15TableBody"/>
              <w:spacing w:before="0" w:after="80"/>
              <w:rPr/>
            </w:pPr>
            <w:r>
              <w:rPr/>
              <w:t>Ir</w:t>
            </w:r>
          </w:p>
        </w:tc>
        <w:tc>
          <w:tcPr>
            <w:tcW w:w="880" w:type="dxa"/>
            <w:tcBorders>
              <w:top w:val="single" w:sz="4" w:space="0" w:color="00000A"/>
            </w:tcBorders>
            <w:shd w:fill="auto" w:val="clear"/>
            <w:vAlign w:val="bottom"/>
          </w:tcPr>
          <w:p>
            <w:pPr>
              <w:pStyle w:val="15TableBody"/>
              <w:spacing w:before="0" w:after="80"/>
              <w:rPr/>
            </w:pPr>
            <w:r>
              <w:rPr/>
              <w:t>1.182</w:t>
            </w:r>
          </w:p>
        </w:tc>
        <w:tc>
          <w:tcPr>
            <w:tcW w:w="810" w:type="dxa"/>
            <w:tcBorders>
              <w:top w:val="single" w:sz="4" w:space="0" w:color="00000A"/>
            </w:tcBorders>
            <w:shd w:fill="auto" w:val="clear"/>
            <w:vAlign w:val="bottom"/>
          </w:tcPr>
          <w:p>
            <w:pPr>
              <w:pStyle w:val="15TableBody"/>
              <w:spacing w:before="0" w:after="80"/>
              <w:rPr/>
            </w:pPr>
            <w:r>
              <w:rPr/>
              <w:t>0.865</w:t>
            </w:r>
          </w:p>
        </w:tc>
        <w:tc>
          <w:tcPr>
            <w:tcW w:w="269" w:type="dxa"/>
            <w:tcBorders>
              <w:top w:val="single" w:sz="4" w:space="0" w:color="00000A"/>
            </w:tcBorders>
            <w:shd w:fill="auto" w:val="clear"/>
            <w:vAlign w:val="bottom"/>
          </w:tcPr>
          <w:p>
            <w:pPr>
              <w:pStyle w:val="15TableBody"/>
              <w:spacing w:before="0" w:after="80"/>
              <w:rPr/>
            </w:pPr>
            <w:r>
              <w:rPr/>
            </w:r>
          </w:p>
        </w:tc>
        <w:tc>
          <w:tcPr>
            <w:tcW w:w="829" w:type="dxa"/>
            <w:tcBorders>
              <w:top w:val="single" w:sz="4" w:space="0" w:color="00000A"/>
            </w:tcBorders>
            <w:shd w:fill="auto" w:val="clear"/>
            <w:vAlign w:val="bottom"/>
          </w:tcPr>
          <w:p>
            <w:pPr>
              <w:pStyle w:val="15TableBody"/>
              <w:spacing w:before="0" w:after="80"/>
              <w:rPr/>
            </w:pPr>
            <w:r>
              <w:rPr/>
              <w:t>1.450</w:t>
            </w:r>
          </w:p>
        </w:tc>
        <w:tc>
          <w:tcPr>
            <w:tcW w:w="791" w:type="dxa"/>
            <w:tcBorders>
              <w:top w:val="single" w:sz="4" w:space="0" w:color="00000A"/>
            </w:tcBorders>
            <w:shd w:fill="auto" w:val="clear"/>
            <w:vAlign w:val="bottom"/>
          </w:tcPr>
          <w:p>
            <w:pPr>
              <w:pStyle w:val="15TableBody"/>
              <w:spacing w:before="0" w:after="80"/>
              <w:rPr/>
            </w:pPr>
            <w:r>
              <w:rPr/>
              <w:t>1.040</w:t>
            </w:r>
          </w:p>
        </w:tc>
      </w:tr>
      <w:tr>
        <w:trPr>
          <w:cantSplit w:val="true"/>
        </w:trPr>
        <w:tc>
          <w:tcPr>
            <w:tcW w:w="976" w:type="dxa"/>
            <w:tcBorders/>
            <w:shd w:fill="auto" w:val="clear"/>
            <w:vAlign w:val="bottom"/>
          </w:tcPr>
          <w:p>
            <w:pPr>
              <w:pStyle w:val="15TableBody"/>
              <w:spacing w:before="0" w:after="80"/>
              <w:rPr/>
            </w:pPr>
            <w:r>
              <w:rPr/>
              <w:t>MgF2</w:t>
            </w:r>
          </w:p>
        </w:tc>
        <w:tc>
          <w:tcPr>
            <w:tcW w:w="880" w:type="dxa"/>
            <w:tcBorders/>
            <w:shd w:fill="auto" w:val="clear"/>
            <w:vAlign w:val="bottom"/>
          </w:tcPr>
          <w:p>
            <w:pPr>
              <w:pStyle w:val="15TableBody"/>
              <w:spacing w:before="0" w:after="80"/>
              <w:rPr/>
            </w:pPr>
            <w:r>
              <w:rPr/>
              <w:t>1.584</w:t>
            </w:r>
          </w:p>
        </w:tc>
        <w:tc>
          <w:tcPr>
            <w:tcW w:w="810" w:type="dxa"/>
            <w:tcBorders/>
            <w:shd w:fill="auto" w:val="clear"/>
            <w:vAlign w:val="bottom"/>
          </w:tcPr>
          <w:p>
            <w:pPr>
              <w:pStyle w:val="15TableBody"/>
              <w:spacing w:before="0" w:after="80"/>
              <w:rPr/>
            </w:pPr>
            <w:r>
              <w:rPr/>
              <w:t>0.487</w:t>
            </w:r>
          </w:p>
        </w:tc>
        <w:tc>
          <w:tcPr>
            <w:tcW w:w="269" w:type="dxa"/>
            <w:tcBorders/>
            <w:shd w:fill="auto" w:val="clear"/>
            <w:vAlign w:val="bottom"/>
          </w:tcPr>
          <w:p>
            <w:pPr>
              <w:pStyle w:val="15TableBody"/>
              <w:spacing w:before="0" w:after="80"/>
              <w:rPr/>
            </w:pPr>
            <w:r>
              <w:rPr/>
            </w:r>
          </w:p>
        </w:tc>
        <w:tc>
          <w:tcPr>
            <w:tcW w:w="829" w:type="dxa"/>
            <w:tcBorders/>
            <w:shd w:fill="auto" w:val="clear"/>
            <w:vAlign w:val="bottom"/>
          </w:tcPr>
          <w:p>
            <w:pPr>
              <w:pStyle w:val="15TableBody"/>
              <w:spacing w:before="0" w:after="80"/>
              <w:rPr/>
            </w:pPr>
            <w:r>
              <w:rPr/>
              <w:t>1.682</w:t>
            </w:r>
          </w:p>
        </w:tc>
        <w:tc>
          <w:tcPr>
            <w:tcW w:w="791" w:type="dxa"/>
            <w:tcBorders/>
            <w:shd w:fill="auto" w:val="clear"/>
            <w:vAlign w:val="bottom"/>
          </w:tcPr>
          <w:p>
            <w:pPr>
              <w:pStyle w:val="15TableBody"/>
              <w:spacing w:before="0" w:after="80"/>
              <w:rPr/>
            </w:pPr>
            <w:r>
              <w:rPr/>
              <w:t>0.0627</w:t>
            </w:r>
          </w:p>
        </w:tc>
      </w:tr>
      <w:tr>
        <w:trPr>
          <w:trHeight w:val="243" w:hRule="atLeast"/>
          <w:cantSplit w:val="true"/>
        </w:trPr>
        <w:tc>
          <w:tcPr>
            <w:tcW w:w="976" w:type="dxa"/>
            <w:tcBorders/>
            <w:shd w:fill="auto" w:val="clear"/>
            <w:vAlign w:val="bottom"/>
          </w:tcPr>
          <w:p>
            <w:pPr>
              <w:pStyle w:val="15TableBody"/>
              <w:spacing w:before="0" w:after="80"/>
              <w:rPr/>
            </w:pPr>
            <w:r>
              <w:rPr/>
              <w:t>Al</w:t>
            </w:r>
          </w:p>
        </w:tc>
        <w:tc>
          <w:tcPr>
            <w:tcW w:w="880" w:type="dxa"/>
            <w:tcBorders/>
            <w:shd w:fill="auto" w:val="clear"/>
            <w:vAlign w:val="bottom"/>
          </w:tcPr>
          <w:p>
            <w:pPr>
              <w:pStyle w:val="15TableBody"/>
              <w:spacing w:before="0" w:after="80"/>
              <w:rPr/>
            </w:pPr>
            <w:r>
              <w:rPr/>
              <w:t>0.09874</w:t>
            </w:r>
          </w:p>
        </w:tc>
        <w:tc>
          <w:tcPr>
            <w:tcW w:w="810" w:type="dxa"/>
            <w:tcBorders/>
            <w:shd w:fill="auto" w:val="clear"/>
            <w:vAlign w:val="bottom"/>
          </w:tcPr>
          <w:p>
            <w:pPr>
              <w:pStyle w:val="15TableBody"/>
              <w:spacing w:before="0" w:after="80"/>
              <w:rPr/>
            </w:pPr>
            <w:r>
              <w:rPr/>
              <w:t>0.1915</w:t>
            </w:r>
          </w:p>
        </w:tc>
        <w:tc>
          <w:tcPr>
            <w:tcW w:w="269" w:type="dxa"/>
            <w:tcBorders/>
            <w:shd w:fill="auto" w:val="clear"/>
            <w:vAlign w:val="bottom"/>
          </w:tcPr>
          <w:p>
            <w:pPr>
              <w:pStyle w:val="15TableBody"/>
              <w:spacing w:before="0" w:after="80"/>
              <w:rPr/>
            </w:pPr>
            <w:r>
              <w:rPr/>
            </w:r>
          </w:p>
        </w:tc>
        <w:tc>
          <w:tcPr>
            <w:tcW w:w="829" w:type="dxa"/>
            <w:tcBorders/>
            <w:shd w:fill="auto" w:val="clear"/>
            <w:vAlign w:val="bottom"/>
          </w:tcPr>
          <w:p>
            <w:pPr>
              <w:pStyle w:val="15TableBody"/>
              <w:spacing w:before="0" w:after="80"/>
              <w:rPr/>
            </w:pPr>
            <w:r>
              <w:rPr/>
              <w:t>0.0424</w:t>
            </w:r>
          </w:p>
        </w:tc>
        <w:tc>
          <w:tcPr>
            <w:tcW w:w="791" w:type="dxa"/>
            <w:tcBorders/>
            <w:shd w:fill="auto" w:val="clear"/>
            <w:vAlign w:val="bottom"/>
          </w:tcPr>
          <w:p>
            <w:pPr>
              <w:pStyle w:val="15TableBody"/>
              <w:spacing w:before="0" w:after="80"/>
              <w:rPr/>
            </w:pPr>
            <w:r>
              <w:rPr/>
              <w:t>1.137</w:t>
            </w:r>
          </w:p>
        </w:tc>
      </w:tr>
      <w:tr>
        <w:trPr>
          <w:cantSplit w:val="true"/>
        </w:trPr>
        <w:tc>
          <w:tcPr>
            <w:tcW w:w="976" w:type="dxa"/>
            <w:tcBorders/>
            <w:shd w:fill="auto" w:val="clear"/>
            <w:vAlign w:val="bottom"/>
          </w:tcPr>
          <w:p>
            <w:pPr>
              <w:pStyle w:val="15TableBody"/>
              <w:spacing w:before="0" w:after="80"/>
              <w:rPr/>
            </w:pPr>
            <w:r>
              <w:rPr/>
              <w:t>Mo</w:t>
            </w:r>
          </w:p>
        </w:tc>
        <w:tc>
          <w:tcPr>
            <w:tcW w:w="880" w:type="dxa"/>
            <w:tcBorders/>
            <w:shd w:fill="auto" w:val="clear"/>
            <w:vAlign w:val="bottom"/>
          </w:tcPr>
          <w:p>
            <w:pPr>
              <w:pStyle w:val="15TableBody"/>
              <w:spacing w:before="0" w:after="80"/>
              <w:rPr/>
            </w:pPr>
            <w:r>
              <w:rPr/>
              <w:t>0.98</w:t>
            </w:r>
          </w:p>
        </w:tc>
        <w:tc>
          <w:tcPr>
            <w:tcW w:w="810" w:type="dxa"/>
            <w:tcBorders/>
            <w:shd w:fill="auto" w:val="clear"/>
            <w:vAlign w:val="bottom"/>
          </w:tcPr>
          <w:p>
            <w:pPr>
              <w:pStyle w:val="15TableBody"/>
              <w:spacing w:before="0" w:after="80"/>
              <w:rPr/>
            </w:pPr>
            <w:r>
              <w:rPr/>
              <w:t>1.08</w:t>
            </w:r>
          </w:p>
        </w:tc>
        <w:tc>
          <w:tcPr>
            <w:tcW w:w="269" w:type="dxa"/>
            <w:tcBorders/>
            <w:shd w:fill="auto" w:val="clear"/>
            <w:vAlign w:val="bottom"/>
          </w:tcPr>
          <w:p>
            <w:pPr>
              <w:pStyle w:val="15TableBody"/>
              <w:spacing w:before="0" w:after="80"/>
              <w:rPr/>
            </w:pPr>
            <w:r>
              <w:rPr/>
            </w:r>
          </w:p>
        </w:tc>
        <w:tc>
          <w:tcPr>
            <w:tcW w:w="829" w:type="dxa"/>
            <w:tcBorders/>
            <w:shd w:fill="auto" w:val="clear"/>
            <w:vAlign w:val="bottom"/>
          </w:tcPr>
          <w:p>
            <w:pPr>
              <w:pStyle w:val="15TableBody"/>
              <w:spacing w:before="0" w:after="80"/>
              <w:rPr/>
            </w:pPr>
            <w:r>
              <w:rPr/>
              <w:t>0.78</w:t>
            </w:r>
          </w:p>
        </w:tc>
        <w:tc>
          <w:tcPr>
            <w:tcW w:w="791" w:type="dxa"/>
            <w:tcBorders/>
            <w:shd w:fill="auto" w:val="clear"/>
            <w:vAlign w:val="bottom"/>
          </w:tcPr>
          <w:p>
            <w:pPr>
              <w:pStyle w:val="15TableBody"/>
              <w:spacing w:before="0" w:after="80"/>
              <w:rPr/>
            </w:pPr>
            <w:r>
              <w:rPr/>
              <w:t>1.03</w:t>
            </w:r>
          </w:p>
        </w:tc>
      </w:tr>
      <w:tr>
        <w:trPr>
          <w:cantSplit w:val="true"/>
        </w:trPr>
        <w:tc>
          <w:tcPr>
            <w:tcW w:w="976" w:type="dxa"/>
            <w:tcBorders>
              <w:bottom w:val="single" w:sz="4" w:space="0" w:color="00000A"/>
              <w:insideH w:val="single" w:sz="4" w:space="0" w:color="00000A"/>
            </w:tcBorders>
            <w:shd w:fill="auto" w:val="clear"/>
            <w:vAlign w:val="bottom"/>
          </w:tcPr>
          <w:p>
            <w:pPr>
              <w:pStyle w:val="15TableBody"/>
              <w:spacing w:before="0" w:after="80"/>
              <w:rPr/>
            </w:pPr>
            <w:r>
              <w:rPr/>
              <w:t>C</w:t>
            </w:r>
          </w:p>
        </w:tc>
        <w:tc>
          <w:tcPr>
            <w:tcW w:w="880" w:type="dxa"/>
            <w:tcBorders>
              <w:bottom w:val="single" w:sz="4" w:space="0" w:color="00000A"/>
              <w:insideH w:val="single" w:sz="4" w:space="0" w:color="00000A"/>
            </w:tcBorders>
            <w:shd w:fill="auto" w:val="clear"/>
            <w:vAlign w:val="bottom"/>
          </w:tcPr>
          <w:p>
            <w:pPr>
              <w:pStyle w:val="15TableBody"/>
              <w:spacing w:before="0" w:after="80"/>
              <w:rPr/>
            </w:pPr>
            <w:r>
              <w:rPr/>
              <w:t>1.16</w:t>
            </w:r>
          </w:p>
        </w:tc>
        <w:tc>
          <w:tcPr>
            <w:tcW w:w="810" w:type="dxa"/>
            <w:tcBorders>
              <w:bottom w:val="single" w:sz="4" w:space="0" w:color="00000A"/>
              <w:insideH w:val="single" w:sz="4" w:space="0" w:color="00000A"/>
            </w:tcBorders>
            <w:shd w:fill="auto" w:val="clear"/>
            <w:vAlign w:val="bottom"/>
          </w:tcPr>
          <w:p>
            <w:pPr>
              <w:pStyle w:val="15TableBody"/>
              <w:spacing w:before="0" w:after="80"/>
              <w:rPr/>
            </w:pPr>
            <w:r>
              <w:rPr/>
              <w:t>1.29</w:t>
            </w:r>
          </w:p>
        </w:tc>
        <w:tc>
          <w:tcPr>
            <w:tcW w:w="269" w:type="dxa"/>
            <w:tcBorders>
              <w:bottom w:val="single" w:sz="4" w:space="0" w:color="00000A"/>
              <w:insideH w:val="single" w:sz="4" w:space="0" w:color="00000A"/>
            </w:tcBorders>
            <w:shd w:fill="auto" w:val="clear"/>
            <w:vAlign w:val="bottom"/>
          </w:tcPr>
          <w:p>
            <w:pPr>
              <w:pStyle w:val="15TableBody"/>
              <w:spacing w:before="0" w:after="80"/>
              <w:rPr/>
            </w:pPr>
            <w:r>
              <w:rPr/>
            </w:r>
          </w:p>
        </w:tc>
        <w:tc>
          <w:tcPr>
            <w:tcW w:w="829" w:type="dxa"/>
            <w:tcBorders>
              <w:bottom w:val="single" w:sz="4" w:space="0" w:color="00000A"/>
              <w:insideH w:val="single" w:sz="4" w:space="0" w:color="00000A"/>
            </w:tcBorders>
            <w:shd w:fill="auto" w:val="clear"/>
            <w:vAlign w:val="bottom"/>
          </w:tcPr>
          <w:p>
            <w:pPr>
              <w:pStyle w:val="15TableBody"/>
              <w:spacing w:before="0" w:after="80"/>
              <w:rPr/>
            </w:pPr>
            <w:r>
              <w:rPr/>
              <w:t>1.85</w:t>
            </w:r>
          </w:p>
        </w:tc>
        <w:tc>
          <w:tcPr>
            <w:tcW w:w="791" w:type="dxa"/>
            <w:tcBorders>
              <w:bottom w:val="single" w:sz="4" w:space="0" w:color="00000A"/>
              <w:insideH w:val="single" w:sz="4" w:space="0" w:color="00000A"/>
            </w:tcBorders>
            <w:shd w:fill="auto" w:val="clear"/>
            <w:vAlign w:val="bottom"/>
          </w:tcPr>
          <w:p>
            <w:pPr>
              <w:pStyle w:val="15TableBody"/>
              <w:spacing w:before="0" w:after="80"/>
              <w:rPr/>
            </w:pPr>
            <w:r>
              <w:rPr/>
              <w:t>1.10</w:t>
            </w:r>
          </w:p>
        </w:tc>
      </w:tr>
    </w:tbl>
    <w:p>
      <w:pPr>
        <w:pStyle w:val="16TableFootnote"/>
        <w:jc w:val="center"/>
        <w:rPr/>
      </w:pPr>
      <w:r>
        <w:rPr>
          <w:i/>
          <w:iCs/>
          <w:vertAlign w:val="superscript"/>
        </w:rPr>
        <w:t>a</w:t>
      </w:r>
      <w:r>
        <w:rPr/>
        <w:t xml:space="preserve">From Appl. Opt. </w:t>
      </w:r>
      <w:r>
        <w:rPr>
          <w:b/>
        </w:rPr>
        <w:t>40</w:t>
      </w:r>
      <w:r>
        <w:rPr/>
        <w:t>, 1128 (2001).</w:t>
      </w:r>
    </w:p>
    <w:p>
      <w:pPr>
        <w:pStyle w:val="08SectionHeader11"/>
        <w:numPr>
          <w:ilvl w:val="0"/>
          <w:numId w:val="3"/>
        </w:numPr>
        <w:rPr/>
      </w:pPr>
      <w:r>
        <w:rPr/>
        <w:t>Funding, acknowledgments, and disclosures</w:t>
      </w:r>
    </w:p>
    <w:p>
      <w:pPr>
        <w:pStyle w:val="08SectionHeader2"/>
        <w:rPr/>
      </w:pPr>
      <w:r>
        <w:rPr/>
        <w:t>5.1 Funding</w:t>
      </w:r>
    </w:p>
    <w:p>
      <w:pPr>
        <w:pStyle w:val="08SectionHeader2"/>
        <w:rPr>
          <w:rFonts w:ascii="Times New Roman" w:hAnsi="Times New Roman"/>
          <w:i w:val="false"/>
          <w:i w:val="false"/>
          <w:color w:val="000000" w:themeColor="text1"/>
        </w:rPr>
      </w:pPr>
      <w:r>
        <w:rPr>
          <w:rFonts w:ascii="Times New Roman" w:hAnsi="Times New Roman"/>
          <w:i w:val="false"/>
          <w:color w:val="000000" w:themeColor="text1"/>
        </w:rPr>
        <w:t>Content in the funding section will be generated entirely from details submitted to Prism. Authors may add placeholder text in the manuscript to assess length, but any text added to this section in the manuscript will be replaced during production and will display official funder names along with any grant numbers provided. If additional details about a funder are required, they may be added to the Acknowledgments, even if this duplicates information in the funding section. See the example below in Acknowledgements.</w:t>
      </w:r>
    </w:p>
    <w:p>
      <w:pPr>
        <w:pStyle w:val="08SectionHeader2"/>
        <w:rPr>
          <w:rFonts w:ascii="Times New Roman" w:hAnsi="Times New Roman"/>
          <w:i w:val="false"/>
          <w:i w:val="false"/>
          <w:color w:val="000000" w:themeColor="text1"/>
        </w:rPr>
      </w:pPr>
      <w:r>
        <w:rPr/>
      </w:r>
    </w:p>
    <w:p>
      <w:pPr>
        <w:pStyle w:val="09BodyFirstParagraph"/>
        <w:rPr/>
      </w:pPr>
      <w:r>
        <w:rPr/>
      </w:r>
    </w:p>
    <w:p>
      <w:pPr>
        <w:pStyle w:val="08SectionHeader11"/>
        <w:numPr>
          <w:ilvl w:val="0"/>
          <w:numId w:val="0"/>
        </w:numPr>
        <w:ind w:left="360" w:hanging="0"/>
        <w:rPr/>
      </w:pPr>
      <w:r>
        <w:rPr/>
      </w:r>
    </w:p>
    <w:p>
      <w:pPr>
        <w:pStyle w:val="10BodySubsequentParagraph"/>
        <w:rPr>
          <w:rFonts w:eastAsia="Times New Roman"/>
        </w:rPr>
      </w:pPr>
      <w:r>
        <w:rPr/>
      </w:r>
    </w:p>
    <w:p>
      <w:pPr>
        <w:pStyle w:val="10BodySubsequentParagraph"/>
        <w:rPr>
          <w:rFonts w:eastAsia="Times New Roman"/>
        </w:rPr>
      </w:pPr>
      <w:r>
        <w:rPr/>
      </w:r>
    </w:p>
    <w:p>
      <w:pPr>
        <w:pStyle w:val="10BodySubsequentParagraph"/>
        <w:rPr>
          <w:rFonts w:eastAsia="Times New Roman"/>
        </w:rPr>
      </w:pPr>
      <w:r>
        <w:rPr/>
      </w:r>
    </w:p>
    <w:p>
      <w:pPr>
        <w:pStyle w:val="10BodySubsequentParagraph"/>
        <w:rPr>
          <w:rFonts w:eastAsia="Times New Roman"/>
        </w:rPr>
      </w:pPr>
      <w:r>
        <w:rPr/>
      </w:r>
    </w:p>
    <w:p>
      <w:pPr>
        <w:pStyle w:val="10BodySubsequentParagraph"/>
        <w:rPr>
          <w:rFonts w:eastAsia="Times New Roman"/>
        </w:rPr>
      </w:pPr>
      <w:r>
        <w:rPr/>
      </w:r>
    </w:p>
    <w:p>
      <w:pPr>
        <w:pStyle w:val="10BodySubsequentParagraph"/>
        <w:rPr>
          <w:rFonts w:eastAsia="Times New Roman"/>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791710" cy="269494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8"/>
                    <a:stretch>
                      <a:fillRect/>
                    </a:stretch>
                  </pic:blipFill>
                  <pic:spPr bwMode="auto">
                    <a:xfrm>
                      <a:off x="0" y="0"/>
                      <a:ext cx="4791710" cy="2694940"/>
                    </a:xfrm>
                    <a:prstGeom prst="rect">
                      <a:avLst/>
                    </a:prstGeom>
                  </pic:spPr>
                </pic:pic>
              </a:graphicData>
            </a:graphic>
          </wp:anchor>
        </w:drawing>
      </w:r>
    </w:p>
    <w:p>
      <w:pPr>
        <w:pStyle w:val="11Figure"/>
        <w:rPr/>
      </w:pPr>
      <w:r>
        <w:rPr/>
        <w:t>Fd’;glkdf’h;gl</w:t>
      </w:r>
    </w:p>
    <w:p>
      <w:pPr>
        <w:pStyle w:val="11Figure"/>
        <w:rPr/>
      </w:pPr>
      <w:r>
        <w:rPr/>
        <w:drawing>
          <wp:anchor behindDoc="0" distT="0" distB="0" distL="0" distR="0" simplePos="0" locked="0" layoutInCell="1" allowOverlap="1" relativeHeight="5">
            <wp:simplePos x="0" y="0"/>
            <wp:positionH relativeFrom="column">
              <wp:posOffset>122555</wp:posOffset>
            </wp:positionH>
            <wp:positionV relativeFrom="paragraph">
              <wp:posOffset>221615</wp:posOffset>
            </wp:positionV>
            <wp:extent cx="4791710" cy="2694940"/>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4791710" cy="2694940"/>
                    </a:xfrm>
                    <a:prstGeom prst="rect">
                      <a:avLst/>
                    </a:prstGeom>
                  </pic:spPr>
                </pic:pic>
              </a:graphicData>
            </a:graphic>
          </wp:anchor>
        </w:drawing>
      </w:r>
    </w:p>
    <w:p>
      <w:pPr>
        <w:pStyle w:val="11Figure"/>
        <w:rPr/>
      </w:pPr>
      <w:r>
        <w:rPr/>
      </w:r>
    </w:p>
    <w:p>
      <w:pPr>
        <w:pStyle w:val="11Figure"/>
        <w:rPr/>
      </w:pPr>
      <w:r>
        <w:rPr/>
        <w:t>s’;’;lfdgk’hd;lfgkh’fdglk</w:t>
      </w:r>
    </w:p>
    <w:p>
      <w:pPr>
        <w:pStyle w:val="11Figure"/>
        <w:rPr/>
      </w:pPr>
      <w:r>
        <w:rPr/>
        <w:drawing>
          <wp:anchor behindDoc="0" distT="0" distB="0" distL="0" distR="0" simplePos="0" locked="0" layoutInCell="1" allowOverlap="1" relativeHeight="6">
            <wp:simplePos x="0" y="0"/>
            <wp:positionH relativeFrom="column">
              <wp:posOffset>266065</wp:posOffset>
            </wp:positionH>
            <wp:positionV relativeFrom="paragraph">
              <wp:posOffset>177800</wp:posOffset>
            </wp:positionV>
            <wp:extent cx="4791710" cy="2694940"/>
            <wp:effectExtent l="0" t="0" r="0" b="0"/>
            <wp:wrapTopAndBottom/>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0"/>
                    <a:stretch>
                      <a:fillRect/>
                    </a:stretch>
                  </pic:blipFill>
                  <pic:spPr bwMode="auto">
                    <a:xfrm>
                      <a:off x="0" y="0"/>
                      <a:ext cx="4791710" cy="2694940"/>
                    </a:xfrm>
                    <a:prstGeom prst="rect">
                      <a:avLst/>
                    </a:prstGeom>
                  </pic:spPr>
                </pic:pic>
              </a:graphicData>
            </a:graphic>
          </wp:anchor>
        </w:drawing>
      </w:r>
    </w:p>
    <w:p>
      <w:pPr>
        <w:pStyle w:val="11Figure"/>
        <w:rPr/>
      </w:pPr>
      <w:r>
        <w:rPr/>
        <w:t>fg’dfg;lhkd’f;lghkdf’gh;</w:t>
      </w:r>
    </w:p>
    <w:p>
      <w:pPr>
        <w:pStyle w:val="11Figure"/>
        <w:rPr/>
      </w:pPr>
      <w:r>
        <w:rPr/>
      </w:r>
    </w:p>
    <w:p>
      <w:pPr>
        <w:pStyle w:val="11Figure"/>
        <w:rPr/>
      </w:pPr>
      <w:r>
        <w:rPr/>
        <w:drawing>
          <wp:anchor behindDoc="0" distT="0" distB="0" distL="0" distR="0" simplePos="0" locked="0" layoutInCell="1" allowOverlap="1" relativeHeight="7">
            <wp:simplePos x="0" y="0"/>
            <wp:positionH relativeFrom="column">
              <wp:posOffset>266065</wp:posOffset>
            </wp:positionH>
            <wp:positionV relativeFrom="paragraph">
              <wp:posOffset>2292985</wp:posOffset>
            </wp:positionV>
            <wp:extent cx="14605" cy="0"/>
            <wp:effectExtent l="0" t="0" r="0" b="0"/>
            <wp:wrapTopAndBottom/>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1"/>
                    <a:stretch>
                      <a:fillRect/>
                    </a:stretch>
                  </pic:blipFill>
                  <pic:spPr bwMode="auto">
                    <a:xfrm>
                      <a:off x="0" y="0"/>
                      <a:ext cx="14605" cy="-26670"/>
                    </a:xfrm>
                    <a:prstGeom prst="rect">
                      <a:avLst/>
                    </a:prstGeom>
                  </pic:spPr>
                </pic:pic>
              </a:graphicData>
            </a:graphic>
          </wp:anchor>
        </w:drawing>
      </w:r>
    </w:p>
    <w:p>
      <w:pPr>
        <w:pStyle w:val="11Figure"/>
        <w:rPr/>
      </w:pPr>
      <w:r>
        <w:rPr/>
      </w:r>
    </w:p>
    <w:p>
      <w:pPr>
        <w:pStyle w:val="11Figure"/>
        <w:rPr/>
      </w:pPr>
      <w:r>
        <w:rPr/>
      </w:r>
    </w:p>
    <w:p>
      <w:pPr>
        <w:pStyle w:val="11Figure"/>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791710" cy="1835150"/>
            <wp:effectExtent l="0" t="0" r="0" b="0"/>
            <wp:wrapTopAndBottom/>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2"/>
                    <a:stretch>
                      <a:fillRect/>
                    </a:stretch>
                  </pic:blipFill>
                  <pic:spPr bwMode="auto">
                    <a:xfrm>
                      <a:off x="0" y="0"/>
                      <a:ext cx="4791710" cy="1835150"/>
                    </a:xfrm>
                    <a:prstGeom prst="rect">
                      <a:avLst/>
                    </a:prstGeom>
                  </pic:spPr>
                </pic:pic>
              </a:graphicData>
            </a:graphic>
          </wp:anchor>
        </w:drawing>
      </w:r>
    </w:p>
    <w:p>
      <w:pPr>
        <w:pStyle w:val="11Figure"/>
        <w:rPr/>
      </w:pPr>
      <w:r>
        <w:rPr/>
        <w:t>f;lkdf’g;hlkdf’gh;lk</w:t>
      </w:r>
    </w:p>
    <w:p>
      <w:pPr>
        <w:pStyle w:val="11Figure"/>
        <w:rPr/>
      </w:pPr>
      <w:r>
        <w:rPr/>
      </w:r>
    </w:p>
    <w:p>
      <w:pPr>
        <w:pStyle w:val="11Figure"/>
        <w:rPr/>
      </w:pPr>
      <w:r>
        <w:rPr/>
      </w:r>
    </w:p>
    <w:p>
      <w:pPr>
        <w:pStyle w:val="11Figure"/>
        <w:rPr/>
      </w:pPr>
      <w:r>
        <w:rPr/>
      </w:r>
    </w:p>
    <w:p>
      <w:pPr>
        <w:pStyle w:val="11Figure"/>
        <w:rPr/>
      </w:pPr>
      <w:r>
        <w:rPr/>
      </w:r>
    </w:p>
    <w:p>
      <w:pPr>
        <w:pStyle w:val="11Figure"/>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791710" cy="1814830"/>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3"/>
                    <a:stretch>
                      <a:fillRect/>
                    </a:stretch>
                  </pic:blipFill>
                  <pic:spPr bwMode="auto">
                    <a:xfrm>
                      <a:off x="0" y="0"/>
                      <a:ext cx="4791710" cy="1814830"/>
                    </a:xfrm>
                    <a:prstGeom prst="rect">
                      <a:avLst/>
                    </a:prstGeom>
                  </pic:spPr>
                </pic:pic>
              </a:graphicData>
            </a:graphic>
          </wp:anchor>
        </w:drawing>
      </w:r>
    </w:p>
    <w:p>
      <w:pPr>
        <w:pStyle w:val="11Figure"/>
        <w:rPr/>
      </w:pPr>
      <w:r>
        <w:rPr/>
        <w:t>dfg’;h\ldf\g’hl</w:t>
      </w:r>
    </w:p>
    <w:p>
      <w:pPr>
        <w:pStyle w:val="11Figure"/>
        <w:rPr/>
      </w:pPr>
      <w:r>
        <w:rPr/>
      </w:r>
    </w:p>
    <w:p>
      <w:pPr>
        <w:pStyle w:val="11Figure"/>
        <w:rPr/>
      </w:pPr>
      <w:r>
        <w:rPr/>
        <w:drawing>
          <wp:anchor behindDoc="0" distT="0" distB="0" distL="0" distR="0" simplePos="0" locked="0" layoutInCell="1" allowOverlap="1" relativeHeight="10">
            <wp:simplePos x="0" y="0"/>
            <wp:positionH relativeFrom="column">
              <wp:posOffset>0</wp:posOffset>
            </wp:positionH>
            <wp:positionV relativeFrom="paragraph">
              <wp:posOffset>128905</wp:posOffset>
            </wp:positionV>
            <wp:extent cx="4791710" cy="1798320"/>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4"/>
                    <a:stretch>
                      <a:fillRect/>
                    </a:stretch>
                  </pic:blipFill>
                  <pic:spPr bwMode="auto">
                    <a:xfrm>
                      <a:off x="0" y="0"/>
                      <a:ext cx="4791710" cy="1798320"/>
                    </a:xfrm>
                    <a:prstGeom prst="rect">
                      <a:avLst/>
                    </a:prstGeom>
                  </pic:spPr>
                </pic:pic>
              </a:graphicData>
            </a:graphic>
          </wp:anchor>
        </w:drawing>
      </w:r>
    </w:p>
    <w:p>
      <w:pPr>
        <w:pStyle w:val="11Figure"/>
        <w:rPr/>
      </w:pPr>
      <w:r>
        <w:rPr/>
        <w:t xml:space="preserve">   </w:t>
      </w:r>
    </w:p>
    <w:p>
      <w:pPr>
        <w:pStyle w:val="12FigureCaptionShort"/>
        <w:rPr/>
      </w:pPr>
      <w:r>
        <w:rPr/>
        <w:t xml:space="preserve">Fig. 2. </w:t>
      </w:r>
      <w:r>
        <w:rPr/>
        <w:t>XYZ</w:t>
      </w:r>
      <w:r>
        <w:rPr/>
        <w:t>.</w:t>
      </w:r>
    </w:p>
    <w:p>
      <w:pPr>
        <w:pStyle w:val="12FigureCaptionShort"/>
        <w:rPr/>
      </w:pPr>
      <w:r>
        <w:rPr/>
      </w:r>
    </w:p>
    <w:p>
      <w:pPr>
        <w:pStyle w:val="12FigureCaptionShort"/>
        <w:rPr/>
      </w:pPr>
      <w:r>
        <w:rPr/>
      </w:r>
    </w:p>
    <w:p>
      <w:pPr>
        <w:pStyle w:val="12FigureCaptionShort"/>
        <w:rPr/>
      </w:pPr>
      <w:r>
        <w:drawing>
          <wp:anchor behindDoc="0" distT="0" distB="0" distL="0" distR="0" simplePos="0" locked="0" layoutInCell="1" allowOverlap="1" relativeHeight="27">
            <wp:simplePos x="0" y="0"/>
            <wp:positionH relativeFrom="column">
              <wp:posOffset>232410</wp:posOffset>
            </wp:positionH>
            <wp:positionV relativeFrom="paragraph">
              <wp:posOffset>635</wp:posOffset>
            </wp:positionV>
            <wp:extent cx="4327525" cy="1605280"/>
            <wp:effectExtent l="0" t="0" r="0" b="0"/>
            <wp:wrapTopAndBottom/>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5"/>
                    <a:stretch>
                      <a:fillRect/>
                    </a:stretch>
                  </pic:blipFill>
                  <pic:spPr bwMode="auto">
                    <a:xfrm>
                      <a:off x="0" y="0"/>
                      <a:ext cx="4327525" cy="1605280"/>
                    </a:xfrm>
                    <a:prstGeom prst="rect">
                      <a:avLst/>
                    </a:prstGeom>
                  </pic:spPr>
                </pic:pic>
              </a:graphicData>
            </a:graphic>
          </wp:anchor>
        </w:drawing>
      </w:r>
      <w:r>
        <w:rPr/>
        <w:t>d\fg;’hd\fgh</w:t>
      </w:r>
    </w:p>
    <w:p>
      <w:pPr>
        <w:pStyle w:val="12FigureCaptionShort"/>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3877310" cy="1437640"/>
            <wp:effectExtent l="0" t="0" r="0" b="0"/>
            <wp:wrapTopAndBottom/>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6"/>
                    <a:stretch>
                      <a:fillRect/>
                    </a:stretch>
                  </pic:blipFill>
                  <pic:spPr bwMode="auto">
                    <a:xfrm>
                      <a:off x="0" y="0"/>
                      <a:ext cx="3877310" cy="1437640"/>
                    </a:xfrm>
                    <a:prstGeom prst="rect">
                      <a:avLst/>
                    </a:prstGeom>
                  </pic:spPr>
                </pic:pic>
              </a:graphicData>
            </a:graphic>
          </wp:anchor>
        </w:drawing>
      </w:r>
    </w:p>
    <w:p>
      <w:pPr>
        <w:pStyle w:val="12FigureCaptionShort"/>
        <w:rPr/>
      </w:pPr>
      <w:r>
        <w:rPr/>
        <w:t>dfgh;dlfghd</w:t>
      </w:r>
    </w:p>
    <w:p>
      <w:pPr>
        <w:pStyle w:val="12FigureCaptionShort"/>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3877310" cy="1430655"/>
            <wp:effectExtent l="0" t="0" r="0" b="0"/>
            <wp:wrapTopAndBottom/>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7"/>
                    <a:stretch>
                      <a:fillRect/>
                    </a:stretch>
                  </pic:blipFill>
                  <pic:spPr bwMode="auto">
                    <a:xfrm>
                      <a:off x="0" y="0"/>
                      <a:ext cx="3877310" cy="1430655"/>
                    </a:xfrm>
                    <a:prstGeom prst="rect">
                      <a:avLst/>
                    </a:prstGeom>
                  </pic:spPr>
                </pic:pic>
              </a:graphicData>
            </a:graphic>
          </wp:anchor>
        </w:drawing>
      </w:r>
    </w:p>
    <w:p>
      <w:pPr>
        <w:pStyle w:val="12FigureCaptionShort"/>
        <w:rPr/>
      </w:pPr>
      <w:r>
        <w:rPr/>
      </w:r>
    </w:p>
    <w:p>
      <w:pPr>
        <w:pStyle w:val="12FigureCaptionShort"/>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3877310" cy="1403985"/>
            <wp:effectExtent l="0" t="0" r="0" b="0"/>
            <wp:wrapTopAndBottom/>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8"/>
                    <a:stretch>
                      <a:fillRect/>
                    </a:stretch>
                  </pic:blipFill>
                  <pic:spPr bwMode="auto">
                    <a:xfrm>
                      <a:off x="0" y="0"/>
                      <a:ext cx="3877310" cy="1403985"/>
                    </a:xfrm>
                    <a:prstGeom prst="rect">
                      <a:avLst/>
                    </a:prstGeom>
                  </pic:spPr>
                </pic:pic>
              </a:graphicData>
            </a:graphic>
          </wp:anchor>
        </w:drawing>
      </w:r>
    </w:p>
    <w:p>
      <w:pPr>
        <w:pStyle w:val="12FigureCaptionShort"/>
        <w:rPr/>
      </w:pPr>
      <w:r>
        <w:rPr/>
        <w:t>dfghdfghd</w:t>
      </w:r>
    </w:p>
    <w:p>
      <w:pPr>
        <w:pStyle w:val="12FigureCaptionShort"/>
        <w:ind w:right="720" w:hanging="0"/>
        <w:jc w:val="left"/>
        <w:rPr>
          <w:sz w:val="20"/>
          <w:szCs w:val="20"/>
        </w:rPr>
      </w:pPr>
      <w:r>
        <w:rPr>
          <w:i w:val="false"/>
          <w:color w:val="000000" w:themeColor="text1"/>
          <w:sz w:val="20"/>
          <w:szCs w:val="20"/>
        </w:rPr>
        <w:t>There are no signs of overfitting</w:t>
      </w:r>
    </w:p>
    <w:p>
      <w:pPr>
        <w:pStyle w:val="12FigureCaptionShort"/>
        <w:ind w:right="720" w:hanging="0"/>
        <w:jc w:val="left"/>
        <w:rPr>
          <w:rFonts w:ascii="Times New Roman" w:hAnsi="Times New Roman"/>
          <w:i w:val="false"/>
          <w:i w:val="false"/>
          <w:color w:val="000000" w:themeColor="text1"/>
        </w:rPr>
      </w:pPr>
      <w:r>
        <w:rPr>
          <w:sz w:val="20"/>
          <w:szCs w:val="20"/>
        </w:rPr>
      </w:r>
    </w:p>
    <w:p>
      <w:pPr>
        <w:pStyle w:val="12FigureCaptionShort"/>
        <w:ind w:right="720" w:hanging="0"/>
        <w:jc w:val="left"/>
        <w:rPr>
          <w:sz w:val="20"/>
          <w:szCs w:val="20"/>
        </w:rPr>
      </w:pPr>
      <w:r>
        <w:rPr>
          <w:i w:val="false"/>
          <w:color w:val="000000" w:themeColor="text1"/>
          <w:sz w:val="20"/>
          <w:szCs w:val="20"/>
        </w:rPr>
        <w:t xml:space="preserve">Gong unsupervised </w:t>
      </w:r>
    </w:p>
    <w:p>
      <w:pPr>
        <w:pStyle w:val="12FigureCaptionShort"/>
        <w:ind w:right="720" w:hanging="0"/>
        <w:jc w:val="left"/>
        <w:rPr>
          <w:sz w:val="20"/>
          <w:szCs w:val="20"/>
        </w:rPr>
      </w:pPr>
      <w:r>
        <w:rPr>
          <w:i w:val="false"/>
          <w:color w:val="000000" w:themeColor="text1"/>
          <w:sz w:val="20"/>
          <w:szCs w:val="20"/>
        </w:rPr>
        <w:t>second 10 epochs:</w:t>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4334510" cy="3825875"/>
            <wp:effectExtent l="0" t="0" r="0" b="0"/>
            <wp:wrapTopAndBottom/>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9"/>
                    <a:stretch>
                      <a:fillRect/>
                    </a:stretch>
                  </pic:blipFill>
                  <pic:spPr bwMode="auto">
                    <a:xfrm>
                      <a:off x="0" y="0"/>
                      <a:ext cx="4334510" cy="3825875"/>
                    </a:xfrm>
                    <a:prstGeom prst="rect">
                      <a:avLst/>
                    </a:prstGeom>
                  </pic:spPr>
                </pic:pic>
              </a:graphicData>
            </a:graphic>
          </wp:anchor>
        </w:drawing>
      </w:r>
    </w:p>
    <w:p>
      <w:pPr>
        <w:pStyle w:val="12FigureCaptionShort"/>
        <w:ind w:right="720" w:hanging="0"/>
        <w:jc w:val="left"/>
        <w:rPr>
          <w:rFonts w:ascii="Times New Roman" w:hAnsi="Times New Roman"/>
          <w:i w:val="false"/>
          <w:i w:val="false"/>
          <w:color w:val="000000" w:themeColor="text1"/>
        </w:rPr>
      </w:pPr>
      <w:r>
        <w:rPr>
          <w:sz w:val="20"/>
          <w:szCs w:val="20"/>
        </w:rPr>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51">
            <wp:simplePos x="0" y="0"/>
            <wp:positionH relativeFrom="column">
              <wp:posOffset>228600</wp:posOffset>
            </wp:positionH>
            <wp:positionV relativeFrom="paragraph">
              <wp:posOffset>635</wp:posOffset>
            </wp:positionV>
            <wp:extent cx="4334510" cy="2336800"/>
            <wp:effectExtent l="0" t="0" r="0" b="0"/>
            <wp:wrapTopAndBottom/>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0"/>
                    <a:stretch>
                      <a:fillRect/>
                    </a:stretch>
                  </pic:blipFill>
                  <pic:spPr bwMode="auto">
                    <a:xfrm>
                      <a:off x="0" y="0"/>
                      <a:ext cx="4334510" cy="2336800"/>
                    </a:xfrm>
                    <a:prstGeom prst="rect">
                      <a:avLst/>
                    </a:prstGeom>
                  </pic:spPr>
                </pic:pic>
              </a:graphicData>
            </a:graphic>
          </wp:anchor>
        </w:drawing>
      </w:r>
    </w:p>
    <w:p>
      <w:pPr>
        <w:pStyle w:val="12FigureCaptionShort"/>
        <w:ind w:right="720" w:hanging="0"/>
        <w:jc w:val="left"/>
        <w:rPr>
          <w:sz w:val="20"/>
          <w:szCs w:val="20"/>
        </w:rPr>
      </w:pPr>
      <w:r>
        <w:rPr>
          <w:i w:val="false"/>
          <w:color w:val="000000" w:themeColor="text1"/>
          <w:sz w:val="20"/>
          <w:szCs w:val="20"/>
        </w:rPr>
        <w:t>d;flgkd;flgk</w:t>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4334510" cy="2469515"/>
            <wp:effectExtent l="0" t="0" r="0" b="0"/>
            <wp:wrapTopAndBottom/>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1"/>
                    <a:stretch>
                      <a:fillRect/>
                    </a:stretch>
                  </pic:blipFill>
                  <pic:spPr bwMode="auto">
                    <a:xfrm>
                      <a:off x="0" y="0"/>
                      <a:ext cx="4334510" cy="2469515"/>
                    </a:xfrm>
                    <a:prstGeom prst="rect">
                      <a:avLst/>
                    </a:prstGeom>
                  </pic:spPr>
                </pic:pic>
              </a:graphicData>
            </a:graphic>
          </wp:anchor>
        </w:drawing>
      </w:r>
    </w:p>
    <w:p>
      <w:pPr>
        <w:pStyle w:val="12FigureCaptionShort"/>
        <w:ind w:right="720" w:hanging="0"/>
        <w:jc w:val="left"/>
        <w:rPr>
          <w:sz w:val="20"/>
          <w:szCs w:val="20"/>
        </w:rPr>
      </w:pPr>
      <w:r>
        <w:rPr>
          <w:i w:val="false"/>
          <w:color w:val="000000" w:themeColor="text1"/>
          <w:sz w:val="20"/>
          <w:szCs w:val="20"/>
        </w:rPr>
        <w:t>sdfgsdfgsdfg</w:t>
      </w:r>
    </w:p>
    <w:p>
      <w:pPr>
        <w:pStyle w:val="12FigureCaptionShort"/>
        <w:ind w:right="720" w:hanging="0"/>
        <w:jc w:val="left"/>
        <w:rPr>
          <w:rFonts w:ascii="Times New Roman" w:hAnsi="Times New Roman"/>
          <w:i w:val="false"/>
          <w:i w:val="false"/>
          <w:color w:val="000000" w:themeColor="text1"/>
        </w:rPr>
      </w:pPr>
      <w:r>
        <w:rPr>
          <w:sz w:val="20"/>
          <w:szCs w:val="20"/>
        </w:rPr>
      </w:r>
    </w:p>
    <w:p>
      <w:pPr>
        <w:pStyle w:val="12FigureCaptionShort"/>
        <w:ind w:right="720" w:hanging="0"/>
        <w:jc w:val="left"/>
        <w:rPr>
          <w:rFonts w:ascii="Times New Roman" w:hAnsi="Times New Roman"/>
          <w:i w:val="false"/>
          <w:i w:val="false"/>
          <w:color w:val="000000" w:themeColor="text1"/>
        </w:rPr>
      </w:pPr>
      <w:r>
        <w:rPr>
          <w:sz w:val="20"/>
          <w:szCs w:val="20"/>
        </w:rPr>
      </w:r>
    </w:p>
    <w:p>
      <w:pPr>
        <w:pStyle w:val="12FigureCaptionShort"/>
        <w:ind w:right="720" w:hanging="0"/>
        <w:jc w:val="left"/>
        <w:rPr>
          <w:sz w:val="20"/>
          <w:szCs w:val="20"/>
        </w:rPr>
      </w:pPr>
      <w: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4334510" cy="2491740"/>
            <wp:effectExtent l="0" t="0" r="0" b="0"/>
            <wp:wrapTopAndBottom/>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2"/>
                    <a:stretch>
                      <a:fillRect/>
                    </a:stretch>
                  </pic:blipFill>
                  <pic:spPr bwMode="auto">
                    <a:xfrm>
                      <a:off x="0" y="0"/>
                      <a:ext cx="4334510" cy="2491740"/>
                    </a:xfrm>
                    <a:prstGeom prst="rect">
                      <a:avLst/>
                    </a:prstGeom>
                  </pic:spPr>
                </pic:pic>
              </a:graphicData>
            </a:graphic>
          </wp:anchor>
        </w:drawing>
      </w:r>
      <w:r>
        <w:rPr>
          <w:i w:val="false"/>
          <w:color w:val="000000" w:themeColor="text1"/>
          <w:sz w:val="20"/>
          <w:szCs w:val="20"/>
        </w:rPr>
        <w:t>dfgsdfgsdfgsdfgsdg</w:t>
      </w:r>
    </w:p>
    <w:p>
      <w:pPr>
        <w:pStyle w:val="12FigureCaptionShort"/>
        <w:ind w:right="720" w:hanging="0"/>
        <w:jc w:val="left"/>
        <w:rPr>
          <w:sz w:val="20"/>
          <w:szCs w:val="20"/>
        </w:rPr>
      </w:pPr>
      <w: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4334510" cy="2367915"/>
            <wp:effectExtent l="0" t="0" r="0" b="0"/>
            <wp:wrapTopAndBottom/>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3"/>
                    <a:stretch>
                      <a:fillRect/>
                    </a:stretch>
                  </pic:blipFill>
                  <pic:spPr bwMode="auto">
                    <a:xfrm>
                      <a:off x="0" y="0"/>
                      <a:ext cx="4334510" cy="2367915"/>
                    </a:xfrm>
                    <a:prstGeom prst="rect">
                      <a:avLst/>
                    </a:prstGeom>
                  </pic:spPr>
                </pic:pic>
              </a:graphicData>
            </a:graphic>
          </wp:anchor>
        </w:drawing>
      </w:r>
      <w:r>
        <w:rPr>
          <w:i w:val="false"/>
          <w:color w:val="000000" w:themeColor="text1"/>
          <w:sz w:val="20"/>
          <w:szCs w:val="20"/>
        </w:rPr>
        <w:t>fsd’;lgskd’f;glskdf’g</w:t>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4334510" cy="2437765"/>
            <wp:effectExtent l="0" t="0" r="0" b="0"/>
            <wp:wrapTopAndBottom/>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4"/>
                    <a:stretch>
                      <a:fillRect/>
                    </a:stretch>
                  </pic:blipFill>
                  <pic:spPr bwMode="auto">
                    <a:xfrm>
                      <a:off x="0" y="0"/>
                      <a:ext cx="4334510" cy="2437765"/>
                    </a:xfrm>
                    <a:prstGeom prst="rect">
                      <a:avLst/>
                    </a:prstGeom>
                  </pic:spPr>
                </pic:pic>
              </a:graphicData>
            </a:graphic>
          </wp:anchor>
        </w:drawing>
      </w:r>
    </w:p>
    <w:p>
      <w:pPr>
        <w:pStyle w:val="12FigureCaptionShort"/>
        <w:ind w:right="720" w:hanging="0"/>
        <w:jc w:val="left"/>
        <w:rPr>
          <w:sz w:val="20"/>
          <w:szCs w:val="20"/>
        </w:rPr>
      </w:pPr>
      <w:r>
        <w:rPr>
          <w:i w:val="false"/>
          <w:color w:val="000000" w:themeColor="text1"/>
          <w:sz w:val="20"/>
          <w:szCs w:val="20"/>
        </w:rPr>
        <w:t>sd’flgsd’f;gls</w:t>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4334510" cy="2355850"/>
            <wp:effectExtent l="0" t="0" r="0" b="0"/>
            <wp:wrapTopAndBottom/>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5"/>
                    <a:stretch>
                      <a:fillRect/>
                    </a:stretch>
                  </pic:blipFill>
                  <pic:spPr bwMode="auto">
                    <a:xfrm>
                      <a:off x="0" y="0"/>
                      <a:ext cx="4334510" cy="2355850"/>
                    </a:xfrm>
                    <a:prstGeom prst="rect">
                      <a:avLst/>
                    </a:prstGeom>
                  </pic:spPr>
                </pic:pic>
              </a:graphicData>
            </a:graphic>
          </wp:anchor>
        </w:drawing>
      </w:r>
    </w:p>
    <w:p>
      <w:pPr>
        <w:pStyle w:val="12FigureCaptionShort"/>
        <w:ind w:right="720" w:hanging="0"/>
        <w:jc w:val="left"/>
        <w:rPr>
          <w:sz w:val="20"/>
          <w:szCs w:val="20"/>
        </w:rPr>
      </w:pPr>
      <w:r>
        <w:rPr>
          <w:i w:val="false"/>
          <w:color w:val="000000" w:themeColor="text1"/>
          <w:sz w:val="20"/>
          <w:szCs w:val="20"/>
        </w:rPr>
        <w:t>sd’flgks’dfg;l</w:t>
      </w:r>
    </w:p>
    <w:p>
      <w:pPr>
        <w:pStyle w:val="12FigureCaptionShort"/>
        <w:ind w:right="720" w:hanging="0"/>
        <w:jc w:val="left"/>
        <w:rPr>
          <w:sz w:val="20"/>
          <w:szCs w:val="20"/>
        </w:rPr>
      </w:pPr>
      <w: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4334510" cy="2421890"/>
            <wp:effectExtent l="0" t="0" r="0" b="0"/>
            <wp:wrapTopAndBottom/>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6"/>
                    <a:stretch>
                      <a:fillRect/>
                    </a:stretch>
                  </pic:blipFill>
                  <pic:spPr bwMode="auto">
                    <a:xfrm>
                      <a:off x="0" y="0"/>
                      <a:ext cx="4334510" cy="2421890"/>
                    </a:xfrm>
                    <a:prstGeom prst="rect">
                      <a:avLst/>
                    </a:prstGeom>
                  </pic:spPr>
                </pic:pic>
              </a:graphicData>
            </a:graphic>
          </wp:anchor>
        </w:drawing>
      </w:r>
      <w:r>
        <w:rPr>
          <w:i w:val="false"/>
          <w:color w:val="000000" w:themeColor="text1"/>
          <w:sz w:val="20"/>
          <w:szCs w:val="20"/>
        </w:rPr>
        <w:t>sdf’gsd’;gflsk</w:t>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4334510" cy="2461895"/>
            <wp:effectExtent l="0" t="0" r="0" b="0"/>
            <wp:wrapTopAndBottom/>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7"/>
                    <a:stretch>
                      <a:fillRect/>
                    </a:stretch>
                  </pic:blipFill>
                  <pic:spPr bwMode="auto">
                    <a:xfrm>
                      <a:off x="0" y="0"/>
                      <a:ext cx="4334510" cy="2461895"/>
                    </a:xfrm>
                    <a:prstGeom prst="rect">
                      <a:avLst/>
                    </a:prstGeom>
                  </pic:spPr>
                </pic:pic>
              </a:graphicData>
            </a:graphic>
          </wp:anchor>
        </w:drawing>
      </w:r>
    </w:p>
    <w:p>
      <w:pPr>
        <w:pStyle w:val="12FigureCaptionShort"/>
        <w:ind w:right="720" w:hanging="0"/>
        <w:jc w:val="left"/>
        <w:rPr>
          <w:sz w:val="20"/>
          <w:szCs w:val="20"/>
        </w:rPr>
      </w:pPr>
      <w:r>
        <w:rPr>
          <w:i w:val="false"/>
          <w:color w:val="000000" w:themeColor="text1"/>
          <w:sz w:val="20"/>
          <w:szCs w:val="20"/>
        </w:rPr>
        <w:t>dfsg’sld’fgs;lk</w:t>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4334510" cy="2351405"/>
            <wp:effectExtent l="0" t="0" r="0" b="0"/>
            <wp:wrapTopAndBottom/>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8"/>
                    <a:stretch>
                      <a:fillRect/>
                    </a:stretch>
                  </pic:blipFill>
                  <pic:spPr bwMode="auto">
                    <a:xfrm>
                      <a:off x="0" y="0"/>
                      <a:ext cx="4334510" cy="2351405"/>
                    </a:xfrm>
                    <a:prstGeom prst="rect">
                      <a:avLst/>
                    </a:prstGeom>
                  </pic:spPr>
                </pic:pic>
              </a:graphicData>
            </a:graphic>
          </wp:anchor>
        </w:drawing>
      </w:r>
    </w:p>
    <w:p>
      <w:pPr>
        <w:pStyle w:val="12FigureCaptionShort"/>
        <w:ind w:right="720" w:hanging="0"/>
        <w:jc w:val="left"/>
        <w:rPr>
          <w:rFonts w:ascii="Times New Roman" w:hAnsi="Times New Roman"/>
          <w:i w:val="false"/>
          <w:i w:val="false"/>
          <w:color w:val="000000" w:themeColor="text1"/>
        </w:rPr>
      </w:pPr>
      <w:r>
        <w:rPr>
          <w:sz w:val="20"/>
          <w:szCs w:val="20"/>
        </w:rPr>
      </w:r>
    </w:p>
    <w:p>
      <w:pPr>
        <w:pStyle w:val="12FigureCaptionShort"/>
        <w:ind w:right="720" w:hanging="0"/>
        <w:jc w:val="left"/>
        <w:rPr>
          <w:rFonts w:ascii="Times New Roman" w:hAnsi="Times New Roman"/>
          <w:i w:val="false"/>
          <w:i w:val="false"/>
          <w:color w:val="000000" w:themeColor="text1"/>
        </w:rPr>
      </w:pPr>
      <w:r>
        <w:rPr>
          <w:sz w:val="20"/>
          <w:szCs w:val="20"/>
        </w:rPr>
      </w:r>
    </w:p>
    <w:p>
      <w:pPr>
        <w:pStyle w:val="23ReferenceSectionHeader"/>
        <w:rPr/>
      </w:pPr>
      <w:r>
        <w:rPr/>
        <w:t>References</w:t>
      </w:r>
    </w:p>
    <w:p>
      <w:pPr>
        <w:pStyle w:val="24References"/>
        <w:numPr>
          <w:ilvl w:val="0"/>
          <w:numId w:val="2"/>
        </w:numPr>
        <w:rPr/>
      </w:pPr>
      <w:r>
        <w:rPr/>
        <w:t>“</w:t>
      </w:r>
      <w:r>
        <w:rPr/>
        <w:t xml:space="preserve">Attention Is All You Need”, </w:t>
      </w:r>
      <w:r>
        <w:rPr/>
        <w:t xml:space="preserve">A. Vaswani et al. </w:t>
      </w:r>
    </w:p>
    <w:p>
      <w:pPr>
        <w:pStyle w:val="24References"/>
        <w:numPr>
          <w:ilvl w:val="0"/>
          <w:numId w:val="2"/>
        </w:numPr>
        <w:rPr/>
      </w:pPr>
      <w:r>
        <w:rPr/>
        <w:t>“</w:t>
      </w:r>
      <w:r>
        <w:rPr/>
        <w:t xml:space="preserve">The Annotated Transformer”, </w:t>
      </w:r>
      <w:r>
        <w:rPr/>
        <w:t>A. Rush, et al. (</w:t>
      </w:r>
      <w:hyperlink r:id="rId29">
        <w:r>
          <w:rPr>
            <w:rStyle w:val="InternetLink"/>
          </w:rPr>
          <w:t>http://nlp.seas.harvard.edu/2018/04/03/attention.html</w:t>
        </w:r>
      </w:hyperlink>
      <w:r>
        <w:rPr/>
        <w:t>)</w:t>
      </w:r>
    </w:p>
    <w:p>
      <w:pPr>
        <w:pStyle w:val="24References"/>
        <w:numPr>
          <w:ilvl w:val="0"/>
          <w:numId w:val="2"/>
        </w:numPr>
        <w:rPr/>
      </w:pPr>
      <w:r>
        <w:rPr/>
        <w:t>“</w:t>
      </w:r>
      <w:r>
        <w:rPr/>
        <w:t xml:space="preserve">A COMPARATIVE STUDY ON TRANSFORMER VS RNN IN SPEECH APPLICATIONS”, </w:t>
      </w:r>
      <w:r>
        <w:rPr/>
        <w:t>S. Karita</w:t>
      </w:r>
      <w:r>
        <w:rPr/>
        <w:t xml:space="preserve"> </w:t>
      </w:r>
      <w:r>
        <w:rPr/>
        <w:t>et al. (the authors are contributed the Transformer-based ASR into ESPnet)</w:t>
      </w:r>
    </w:p>
    <w:p>
      <w:pPr>
        <w:pStyle w:val="24References"/>
        <w:numPr>
          <w:ilvl w:val="0"/>
          <w:numId w:val="2"/>
        </w:numPr>
        <w:rPr/>
      </w:pPr>
      <w:r>
        <w:rPr/>
        <w:t>“</w:t>
      </w:r>
      <w:r>
        <w:rPr/>
        <w:t xml:space="preserve">End-to-end speech recognition with word-based rnn language models”, </w:t>
      </w:r>
      <w:r>
        <w:rPr/>
        <w:t>T. Hori et al. 2018</w:t>
      </w:r>
    </w:p>
    <w:p>
      <w:pPr>
        <w:pStyle w:val="24References"/>
        <w:numPr>
          <w:ilvl w:val="0"/>
          <w:numId w:val="2"/>
        </w:numPr>
        <w:rPr/>
      </w:pPr>
      <w:r>
        <w:rPr/>
        <w:t>“</w:t>
      </w:r>
      <w:r>
        <w:rPr/>
        <w:t xml:space="preserve">Improving Transformer-based End-to-End Speech Recognition with Connectionist Temporal Classification and Language Model Integration”, S. Karita </w:t>
      </w:r>
      <w:r>
        <w:rPr/>
        <w:t>et al.</w:t>
      </w:r>
    </w:p>
    <w:p>
      <w:pPr>
        <w:pStyle w:val="24References"/>
        <w:numPr>
          <w:ilvl w:val="0"/>
          <w:numId w:val="2"/>
        </w:numPr>
        <w:rPr/>
      </w:pPr>
      <w:r>
        <w:rPr/>
        <w:t>“</w:t>
      </w:r>
      <w:r>
        <w:rPr/>
        <w:t xml:space="preserve">JOINT CTC-ATTENTION BASED END-TO-END SPEECH RECOGNITION USING MULTI-TASK LEARNING”, S. Kim </w:t>
      </w:r>
      <w:r>
        <w:rPr/>
        <w:t>et al.</w:t>
      </w:r>
    </w:p>
    <w:p>
      <w:pPr>
        <w:pStyle w:val="24References"/>
        <w:numPr>
          <w:ilvl w:val="0"/>
          <w:numId w:val="2"/>
        </w:numPr>
        <w:rPr/>
      </w:pPr>
      <w:r>
        <w:rPr/>
        <w:t>“</w:t>
      </w:r>
      <w:r>
        <w:rPr/>
        <w:t xml:space="preserve">Joint CTC/attention decoding for end-to-end speech recognition”, </w:t>
      </w:r>
      <w:r>
        <w:rPr/>
        <w:t>T. Hori et al.</w:t>
      </w:r>
    </w:p>
    <w:p>
      <w:pPr>
        <w:pStyle w:val="24References"/>
        <w:numPr>
          <w:ilvl w:val="0"/>
          <w:numId w:val="2"/>
        </w:numPr>
        <w:rPr/>
      </w:pPr>
      <w:r>
        <w:rPr/>
        <w:t>“</w:t>
      </w:r>
      <w:r>
        <w:rPr/>
        <w:t xml:space="preserve">Advances in Joint CTC-Attention based End-to-End Speech Recognition with a Deep CNN Encoder and RNN-LM” </w:t>
      </w:r>
      <w:r>
        <w:rPr/>
        <w:t>T. Hori et al.</w:t>
      </w:r>
    </w:p>
    <w:p>
      <w:pPr>
        <w:pStyle w:val="24References"/>
        <w:numPr>
          <w:ilvl w:val="0"/>
          <w:numId w:val="2"/>
        </w:numPr>
        <w:rPr/>
      </w:pPr>
      <w:r>
        <w:rPr/>
        <w:t>“</w:t>
      </w:r>
      <w:r>
        <w:rPr/>
        <w:t xml:space="preserve">Effective Approaches to Attention-based Neural Machine Translation”, </w:t>
      </w:r>
      <w:r>
        <w:rPr/>
        <w:t>M Luong et al (2015)</w:t>
      </w:r>
    </w:p>
    <w:p>
      <w:pPr>
        <w:pStyle w:val="24References"/>
        <w:numPr>
          <w:ilvl w:val="0"/>
          <w:numId w:val="2"/>
        </w:numPr>
        <w:rPr/>
      </w:pPr>
      <w:r>
        <w:rPr/>
        <w:t>“</w:t>
      </w:r>
      <w:r>
        <w:rPr/>
        <w:t xml:space="preserve">The Challenges of using Transformers in ASR”, </w:t>
      </w:r>
      <w:r>
        <w:rPr/>
        <w:t>D. Raj (</w:t>
      </w:r>
      <w:hyperlink r:id="rId30">
        <w:r>
          <w:rPr>
            <w:rStyle w:val="InternetLink"/>
          </w:rPr>
          <w:t>https://desh2608.github.io/2020-01-08-transformer-asr/</w:t>
        </w:r>
      </w:hyperlink>
      <w:r>
        <w:rPr/>
        <w:t>)</w:t>
      </w:r>
    </w:p>
    <w:p>
      <w:pPr>
        <w:pStyle w:val="24References"/>
        <w:numPr>
          <w:ilvl w:val="0"/>
          <w:numId w:val="2"/>
        </w:numPr>
        <w:rPr/>
      </w:pPr>
      <w:r>
        <w:rPr/>
        <w:t>“</w:t>
      </w:r>
      <w:r>
        <w:rPr/>
        <w:t xml:space="preserve">Neural Machine Translation of Rare Words with Subword Unit”, R. Sennrich </w:t>
      </w:r>
      <w:r>
        <w:rPr/>
        <w:t>et al. (introduced BPE)</w:t>
      </w:r>
    </w:p>
    <w:p>
      <w:pPr>
        <w:pStyle w:val="24References"/>
        <w:numPr>
          <w:ilvl w:val="0"/>
          <w:numId w:val="2"/>
        </w:numPr>
        <w:rPr/>
      </w:pPr>
      <w:r>
        <w:rPr/>
        <w:t>“</w:t>
      </w:r>
      <w:r>
        <w:rPr/>
        <w:t xml:space="preserve">TRANSFORMER-BASED ACOUSTIC MODELING FOR HYBRID SPEECH RECOGNITION”, </w:t>
      </w:r>
      <w:r>
        <w:rPr/>
        <w:t>Y Wang, et al. (“Though compared with the sequence-to-sequence or neural transducer architecture, the hybrid approach is admittedly less appealing as it is not end-to-end trained, it is still the best performing system for authors’ practical problems. It also has the advantage that it can be easily integrated with other knowledge sources (e.g., personalized lexicon) that may not be available during training. In this work, we aim to leverage the transformer to improve hybrid acoustic modeling”)</w:t>
      </w:r>
    </w:p>
    <w:p>
      <w:pPr>
        <w:pStyle w:val="24References"/>
        <w:numPr>
          <w:ilvl w:val="0"/>
          <w:numId w:val="2"/>
        </w:numPr>
        <w:rPr/>
      </w:pPr>
      <w:r>
        <w:rPr/>
        <w:t>“</w:t>
      </w:r>
      <w:r>
        <w:rPr/>
        <w:t xml:space="preserve">Subword Regularization: Improving Neural Network Translation Models with Multiple Subword Candidates”,   </w:t>
      </w:r>
      <w:r>
        <w:rPr/>
        <w:t>T.Kudo.</w:t>
      </w:r>
    </w:p>
    <w:p>
      <w:pPr>
        <w:pStyle w:val="24References"/>
        <w:numPr>
          <w:ilvl w:val="0"/>
          <w:numId w:val="2"/>
        </w:numPr>
        <w:rPr/>
      </w:pPr>
      <w:r>
        <w:rPr/>
        <w:t>“</w:t>
      </w:r>
      <w:r>
        <w:rPr/>
        <w:t xml:space="preserve">SPEECH-TRANSFORMER: A NO-RECURRENCE SEQUENCE-TO-SEQUENCE MODEL FOR SPEECH RECOGNITION”, L. Dong </w:t>
      </w:r>
      <w:r>
        <w:rPr/>
        <w:t>et al.</w:t>
      </w:r>
    </w:p>
    <w:p>
      <w:pPr>
        <w:pStyle w:val="24References"/>
        <w:numPr>
          <w:ilvl w:val="0"/>
          <w:numId w:val="2"/>
        </w:numPr>
        <w:rPr/>
      </w:pPr>
      <w:r>
        <w:rPr/>
        <w:t>“</w:t>
      </w:r>
      <w:r>
        <w:rPr/>
        <w:t xml:space="preserve">Tensor2Tensor for neural machine translation”, </w:t>
      </w:r>
      <w:r>
        <w:rPr/>
        <w:t>A. Vaswani et al.</w:t>
      </w:r>
    </w:p>
    <w:p>
      <w:pPr>
        <w:pStyle w:val="24References"/>
        <w:numPr>
          <w:ilvl w:val="0"/>
          <w:numId w:val="2"/>
        </w:numPr>
        <w:rPr/>
      </w:pPr>
      <w:r>
        <w:rPr/>
        <w:t>“</w:t>
      </w:r>
      <w:r>
        <w:rPr/>
        <w:t xml:space="preserve">The Kaldi speech recognition toolkit”, </w:t>
      </w:r>
      <w:r>
        <w:rPr/>
        <w:t>D. Povey et al.</w:t>
      </w:r>
    </w:p>
    <w:p>
      <w:pPr>
        <w:pStyle w:val="24References"/>
        <w:numPr>
          <w:ilvl w:val="0"/>
          <w:numId w:val="2"/>
        </w:numPr>
        <w:rPr/>
      </w:pPr>
      <w:r>
        <w:rPr/>
        <w:t>“</w:t>
      </w:r>
      <w:r>
        <w:rPr/>
        <w:t xml:space="preserve">Training Tips for the Transformer Model”, </w:t>
      </w:r>
      <w:r>
        <w:rPr/>
        <w:t>M. Popel et al.</w:t>
      </w:r>
    </w:p>
    <w:p>
      <w:pPr>
        <w:pStyle w:val="24References"/>
        <w:numPr>
          <w:ilvl w:val="0"/>
          <w:numId w:val="2"/>
        </w:numPr>
        <w:rPr/>
      </w:pPr>
      <w:r>
        <w:rPr/>
        <w:t>“</w:t>
      </w:r>
      <w:r>
        <w:rPr/>
        <w:t xml:space="preserve">Connectionist temporal classification: Labelling unsegmented sequence data with recurrent neural networks”, </w:t>
      </w:r>
      <w:r>
        <w:rPr/>
        <w:t>A.Graves et al.</w:t>
      </w:r>
    </w:p>
    <w:p>
      <w:pPr>
        <w:pStyle w:val="24References"/>
        <w:numPr>
          <w:ilvl w:val="0"/>
          <w:numId w:val="2"/>
        </w:numPr>
        <w:rPr/>
      </w:pPr>
      <w:r>
        <w:rPr/>
        <w:t>“</w:t>
      </w:r>
      <w:r>
        <w:rPr/>
        <w:t>A</w:t>
      </w:r>
      <w:r>
        <w:rPr/>
        <w:t xml:space="preserve"> pitch extraction algorithm tuned for automatic speech recognition”, P. Ghahremani </w:t>
      </w:r>
      <w:r>
        <w:rPr/>
        <w:t>et al.</w:t>
      </w:r>
    </w:p>
    <w:p>
      <w:pPr>
        <w:pStyle w:val="24References"/>
        <w:numPr>
          <w:ilvl w:val="0"/>
          <w:numId w:val="2"/>
        </w:numPr>
        <w:rPr/>
      </w:pPr>
      <w:r>
        <w:rPr/>
        <w:t>“</w:t>
      </w:r>
      <w:r>
        <w:rPr/>
        <w:t xml:space="preserve">STREAMING AUTOMATIC SPEECH RECOGNITION WITH THE TRANSFORMER MODEL”, N. Moritz </w:t>
      </w:r>
      <w:r>
        <w:rPr/>
        <w:t>et al.</w:t>
      </w:r>
    </w:p>
    <w:p>
      <w:pPr>
        <w:pStyle w:val="24References"/>
        <w:numPr>
          <w:ilvl w:val="0"/>
          <w:numId w:val="2"/>
        </w:numPr>
        <w:rPr/>
      </w:pPr>
      <w:r>
        <w:rPr/>
        <w:t>“</w:t>
      </w:r>
      <w:r>
        <w:rPr/>
        <w:t xml:space="preserve">SentencePiece: A simple and language independent subword tokenizer and detokenizer for Neural Text Processing”, </w:t>
      </w:r>
      <w:r>
        <w:rPr/>
        <w:t>T. Kudo, J. Richardson</w:t>
      </w:r>
    </w:p>
    <w:p>
      <w:pPr>
        <w:pStyle w:val="24References"/>
        <w:numPr>
          <w:ilvl w:val="0"/>
          <w:numId w:val="2"/>
        </w:numPr>
        <w:rPr/>
      </w:pPr>
      <w:r>
        <w:rPr/>
        <w:t>“</w:t>
      </w:r>
      <w:r>
        <w:rPr/>
        <w:t xml:space="preserve">Recurrent neural network based language mode”, </w:t>
      </w:r>
      <w:r>
        <w:rPr/>
        <w:t>T. Mikolov et al.</w:t>
      </w:r>
    </w:p>
    <w:p>
      <w:pPr>
        <w:pStyle w:val="24References"/>
        <w:numPr>
          <w:ilvl w:val="0"/>
          <w:numId w:val="2"/>
        </w:numPr>
        <w:rPr/>
      </w:pPr>
      <w:r>
        <w:rPr/>
        <w:t>“</w:t>
      </w:r>
      <w:r>
        <w:rPr/>
        <w:t xml:space="preserve">Scaling Neural Machine Translation”, </w:t>
      </w:r>
      <w:r>
        <w:rPr/>
        <w:t>M. Ott et al.</w:t>
      </w:r>
    </w:p>
    <w:p>
      <w:pPr>
        <w:pStyle w:val="24References"/>
        <w:numPr>
          <w:ilvl w:val="0"/>
          <w:numId w:val="2"/>
        </w:numPr>
        <w:rPr/>
      </w:pPr>
      <w:r>
        <w:rPr/>
      </w:r>
    </w:p>
    <w:p>
      <w:pPr>
        <w:pStyle w:val="24References"/>
        <w:numPr>
          <w:ilvl w:val="0"/>
          <w:numId w:val="2"/>
        </w:numPr>
        <w:rPr/>
      </w:pPr>
      <w:r>
        <w:rPr/>
      </w:r>
    </w:p>
    <w:p>
      <w:pPr>
        <w:pStyle w:val="24References"/>
        <w:numPr>
          <w:ilvl w:val="0"/>
          <w:numId w:val="2"/>
        </w:numPr>
        <w:rPr/>
      </w:pPr>
      <w:r>
        <w:rPr/>
        <w:t>“</w:t>
      </w:r>
      <w:r>
        <w:rPr/>
        <w:t xml:space="preserve">STREAMING AUTOMATIC SPEECH RECOGNITION WITH THE TRANSFORMER MODEL” </w:t>
      </w:r>
      <w:r>
        <w:rPr/>
        <w:t>N. Moritz</w:t>
      </w:r>
    </w:p>
    <w:p>
      <w:pPr>
        <w:pStyle w:val="24References"/>
        <w:numPr>
          <w:ilvl w:val="0"/>
          <w:numId w:val="2"/>
        </w:numPr>
        <w:rPr/>
      </w:pPr>
      <w:r>
        <w:rPr/>
        <w:t>“</w:t>
      </w:r>
      <w:r>
        <w:rPr/>
        <w:t xml:space="preserve">Triggered attention for end-to-end speech recognition” </w:t>
      </w:r>
      <w:r>
        <w:rPr/>
        <w:t>N. Moritz</w:t>
      </w:r>
    </w:p>
    <w:p>
      <w:pPr>
        <w:pStyle w:val="24References"/>
        <w:numPr>
          <w:ilvl w:val="0"/>
          <w:numId w:val="2"/>
        </w:numPr>
        <w:rPr/>
      </w:pPr>
      <w:r>
        <w:rPr/>
        <w:t>“</w:t>
      </w:r>
      <w:r>
        <w:rPr/>
        <w:t>Speech recognition for medical conversations</w:t>
      </w:r>
      <w:r>
        <w:rPr/>
        <w:t xml:space="preserve">”  CC Chiu et al. (ASR with </w:t>
      </w:r>
      <w:r>
        <w:rPr/>
        <w:t>noisy transcripts</w:t>
      </w:r>
      <w:r>
        <w:rPr/>
        <w:t>)</w:t>
      </w:r>
    </w:p>
    <w:sectPr>
      <w:type w:val="nextPage"/>
      <w:pgSz w:w="12240" w:h="15840"/>
      <w:pgMar w:left="2347" w:right="2347" w:header="0" w:top="1872" w:footer="0" w:bottom="1872"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Times New Roman">
    <w:charset w:val="01"/>
    <w:family w:val="roman"/>
    <w:pitch w:val="variable"/>
  </w:font>
  <w:font w:name="Times new roman">
    <w:charset w:val="01"/>
    <w:family w:val="roman"/>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suff w:val="nothing"/>
      <w:lvlText w:val=""/>
      <w:lvlJc w:val="left"/>
      <w:pPr>
        <w:tabs>
          <w:tab w:val="num" w:pos="1414"/>
        </w:tabs>
        <w:ind w:left="1414" w:hanging="0"/>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nhideWhenUsed/>
    <w:qFormat/>
    <w:rsid w:val="0020118a"/>
    <w:pPr>
      <w:widowControl/>
      <w:bidi w:val="0"/>
      <w:spacing w:lineRule="auto" w:line="276" w:before="0" w:after="20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6270b3"/>
    <w:pPr>
      <w:keepNext w:val="true"/>
      <w:keepLines/>
      <w:spacing w:before="240" w:after="0"/>
      <w:outlineLvl w:val="0"/>
    </w:pPr>
    <w:rPr>
      <w:rFonts w:ascii="Cambria" w:hAnsi="Cambria" w:eastAsia="" w:cs="" w:asciiTheme="majorHAnsi" w:cstheme="majorBidi" w:eastAsiaTheme="majorEastAsia" w:hAnsiTheme="majorHAnsi"/>
      <w:color w:val="365F91" w:themeColor="accent1" w:themeShade="bf"/>
      <w:sz w:val="32"/>
      <w:szCs w:val="32"/>
    </w:rPr>
  </w:style>
  <w:style w:type="paragraph" w:styleId="Heading3">
    <w:name w:val="Heading 3"/>
    <w:basedOn w:val="Heading"/>
    <w:next w:val="TextBody"/>
    <w:qFormat/>
    <w:pPr>
      <w:spacing w:before="140" w:after="120"/>
      <w:outlineLvl w:val="2"/>
    </w:pPr>
    <w:rPr>
      <w:rFonts w:ascii="Liberation Serif" w:hAnsi="Liberation Serif" w:eastAsia="DejaVu Sans" w:cs="DejaVu Sans"/>
      <w:b/>
      <w:bCs/>
      <w:sz w:val="28"/>
      <w:szCs w:val="28"/>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5a33e2"/>
    <w:rPr>
      <w:sz w:val="16"/>
      <w:szCs w:val="16"/>
    </w:rPr>
  </w:style>
  <w:style w:type="character" w:styleId="CommentTextChar" w:customStyle="1">
    <w:name w:val="Comment Text Char"/>
    <w:basedOn w:val="DefaultParagraphFont"/>
    <w:link w:val="CommentText"/>
    <w:uiPriority w:val="99"/>
    <w:semiHidden/>
    <w:qFormat/>
    <w:rsid w:val="005a33e2"/>
    <w:rPr>
      <w:sz w:val="20"/>
      <w:szCs w:val="20"/>
    </w:rPr>
  </w:style>
  <w:style w:type="character" w:styleId="CommentSubjectChar" w:customStyle="1">
    <w:name w:val="Comment Subject Char"/>
    <w:basedOn w:val="CommentTextChar"/>
    <w:link w:val="CommentSubject"/>
    <w:uiPriority w:val="99"/>
    <w:semiHidden/>
    <w:qFormat/>
    <w:rsid w:val="005a33e2"/>
    <w:rPr>
      <w:b/>
      <w:bCs/>
      <w:sz w:val="20"/>
      <w:szCs w:val="20"/>
    </w:rPr>
  </w:style>
  <w:style w:type="character" w:styleId="BalloonTextChar" w:customStyle="1">
    <w:name w:val="Balloon Text Char"/>
    <w:basedOn w:val="DefaultParagraphFont"/>
    <w:link w:val="BalloonText"/>
    <w:uiPriority w:val="99"/>
    <w:semiHidden/>
    <w:qFormat/>
    <w:rsid w:val="005a33e2"/>
    <w:rPr>
      <w:rFonts w:ascii="Tahoma" w:hAnsi="Tahoma" w:cs="Tahoma"/>
      <w:sz w:val="16"/>
      <w:szCs w:val="16"/>
    </w:rPr>
  </w:style>
  <w:style w:type="character" w:styleId="Heading1Char" w:customStyle="1">
    <w:name w:val="Heading 1 Char"/>
    <w:basedOn w:val="DefaultParagraphFont"/>
    <w:link w:val="Heading1"/>
    <w:uiPriority w:val="9"/>
    <w:qFormat/>
    <w:rsid w:val="006270b3"/>
    <w:rPr>
      <w:rFonts w:ascii="Cambria" w:hAnsi="Cambria" w:eastAsia="" w:cs="" w:asciiTheme="majorHAnsi" w:cstheme="majorBidi" w:eastAsiaTheme="majorEastAsia" w:hAnsiTheme="majorHAnsi"/>
      <w:color w:val="365F91" w:themeColor="accent1" w:themeShade="bf"/>
      <w:sz w:val="32"/>
      <w:szCs w:val="32"/>
    </w:rPr>
  </w:style>
  <w:style w:type="character" w:styleId="InternetLink">
    <w:name w:val="Internet Link"/>
    <w:basedOn w:val="DefaultParagraphFont"/>
    <w:uiPriority w:val="99"/>
    <w:unhideWhenUsed/>
    <w:rsid w:val="00497360"/>
    <w:rPr>
      <w:color w:val="0000FF" w:themeColor="hyperlink"/>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color w:val="2F2FB1"/>
    </w:rPr>
  </w:style>
  <w:style w:type="character" w:styleId="ListLabel5">
    <w:name w:val="ListLabel 5"/>
    <w:qFormat/>
    <w:rPr>
      <w:color w:val="2E2EB1"/>
      <w:u w:val="none"/>
    </w:rPr>
  </w:style>
  <w:style w:type="character" w:styleId="ListLabel6">
    <w:name w:val="ListLabel 6"/>
    <w:qFormat/>
    <w:rPr/>
  </w:style>
  <w:style w:type="character" w:styleId="ListLabel7">
    <w:name w:val="ListLabel 7"/>
    <w:qFormat/>
    <w:rPr>
      <w:bCs/>
      <w:color w:val="2F2FB1"/>
      <w:lang w:val="en"/>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01Title" w:customStyle="1">
    <w:name w:val="01. Title"/>
    <w:basedOn w:val="Normal"/>
    <w:qFormat/>
    <w:rsid w:val="000615ee"/>
    <w:pPr>
      <w:spacing w:lineRule="auto" w:line="240" w:before="0" w:after="0"/>
    </w:pPr>
    <w:rPr>
      <w:rFonts w:ascii="Arial" w:hAnsi="Arial"/>
      <w:b/>
      <w:spacing w:val="10"/>
      <w:kern w:val="2"/>
      <w:sz w:val="32"/>
    </w:rPr>
  </w:style>
  <w:style w:type="paragraph" w:styleId="02AuthorBOE" w:customStyle="1">
    <w:name w:val="02. Author - BOE"/>
    <w:basedOn w:val="01Title"/>
    <w:qFormat/>
    <w:rsid w:val="000615ee"/>
    <w:pPr>
      <w:spacing w:before="240" w:after="80"/>
    </w:pPr>
    <w:rPr>
      <w:smallCaps/>
      <w:color w:val="7C130E"/>
      <w:spacing w:val="0"/>
      <w:kern w:val="0"/>
      <w:sz w:val="24"/>
    </w:rPr>
  </w:style>
  <w:style w:type="paragraph" w:styleId="10BodySubsequentParagraph" w:customStyle="1">
    <w:name w:val="10. Body Subsequent Paragraph"/>
    <w:basedOn w:val="09BodyFirstParagraph"/>
    <w:qFormat/>
    <w:rsid w:val="00a568b6"/>
    <w:pPr>
      <w:spacing w:before="0" w:after="0"/>
      <w:ind w:firstLine="288"/>
    </w:pPr>
    <w:rPr/>
  </w:style>
  <w:style w:type="paragraph" w:styleId="03AuthorAffiliation" w:customStyle="1">
    <w:name w:val="03. Author Affiliation"/>
    <w:basedOn w:val="NoSpacing"/>
    <w:qFormat/>
    <w:rsid w:val="00ce587e"/>
    <w:pPr/>
    <w:rPr>
      <w:rFonts w:ascii="Times New Roman" w:hAnsi="Times New Roman"/>
      <w:i/>
      <w:sz w:val="18"/>
    </w:rPr>
  </w:style>
  <w:style w:type="paragraph" w:styleId="02AuthorOE" w:customStyle="1">
    <w:name w:val="02. Author - OE"/>
    <w:basedOn w:val="02AuthorBOE"/>
    <w:qFormat/>
    <w:rsid w:val="00ce587e"/>
    <w:pPr/>
    <w:rPr>
      <w:color w:val="943634"/>
    </w:rPr>
  </w:style>
  <w:style w:type="paragraph" w:styleId="NoSpacing">
    <w:name w:val="No Spacing"/>
    <w:uiPriority w:val="1"/>
    <w:qFormat/>
    <w:rsid w:val="009909e8"/>
    <w:pPr>
      <w:widowControl/>
      <w:bidi w:val="0"/>
      <w:spacing w:lineRule="auto" w:line="240" w:before="0" w:after="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paragraph" w:styleId="02AuthorOME" w:customStyle="1">
    <w:name w:val="02. Author - OME"/>
    <w:basedOn w:val="02AuthorBOE"/>
    <w:qFormat/>
    <w:rsid w:val="00416cdd"/>
    <w:pPr/>
    <w:rPr>
      <w:color w:val="1478B6"/>
    </w:rPr>
  </w:style>
  <w:style w:type="paragraph" w:styleId="04Email" w:customStyle="1">
    <w:name w:val="04. Email"/>
    <w:basedOn w:val="03AuthorAffiliation"/>
    <w:qFormat/>
    <w:rsid w:val="00416cdd"/>
    <w:pPr/>
    <w:rPr>
      <w:color w:val="2E2EB1"/>
    </w:rPr>
  </w:style>
  <w:style w:type="paragraph" w:styleId="23ReferenceSectionHeader" w:customStyle="1">
    <w:name w:val="23. Reference Section Header"/>
    <w:qFormat/>
    <w:rsid w:val="007f35cc"/>
    <w:pPr>
      <w:widowControl/>
      <w:bidi w:val="0"/>
      <w:spacing w:lineRule="auto" w:line="240" w:before="120" w:after="120"/>
      <w:jc w:val="left"/>
    </w:pPr>
    <w:rPr>
      <w:rFonts w:ascii="Arial" w:hAnsi="Arial" w:eastAsia="" w:cs="" w:cstheme="minorBidi" w:eastAsiaTheme="minorEastAsia"/>
      <w:b/>
      <w:color w:val="auto"/>
      <w:kern w:val="0"/>
      <w:sz w:val="20"/>
      <w:szCs w:val="22"/>
      <w:lang w:val="en-US" w:eastAsia="en-US" w:bidi="ar-SA"/>
    </w:rPr>
  </w:style>
  <w:style w:type="paragraph" w:styleId="06AbstractBody" w:customStyle="1">
    <w:name w:val="06. Abstract Body"/>
    <w:qFormat/>
    <w:rsid w:val="00bf64a9"/>
    <w:pPr>
      <w:widowControl/>
      <w:bidi w:val="0"/>
      <w:spacing w:lineRule="auto" w:line="240" w:before="240" w:after="0"/>
      <w:jc w:val="both"/>
    </w:pPr>
    <w:rPr>
      <w:rFonts w:ascii="Times New Roman" w:hAnsi="Times New Roman" w:eastAsia="" w:cs=""/>
      <w:color w:val="000000" w:themeColor="text1"/>
      <w:kern w:val="0"/>
      <w:sz w:val="20"/>
      <w:szCs w:val="22"/>
      <w:lang w:val="en-US" w:eastAsia="en-US" w:bidi="ar-SA"/>
    </w:rPr>
  </w:style>
  <w:style w:type="paragraph" w:styleId="07Copyright" w:customStyle="1">
    <w:name w:val="07. Copyright"/>
    <w:basedOn w:val="06AbstractBody"/>
    <w:qFormat/>
    <w:rsid w:val="0036209c"/>
    <w:pPr>
      <w:spacing w:before="240" w:after="240"/>
    </w:pPr>
    <w:rPr>
      <w:rFonts w:ascii="Arial" w:hAnsi="Arial"/>
      <w:sz w:val="16"/>
    </w:rPr>
  </w:style>
  <w:style w:type="paragraph" w:styleId="24References" w:customStyle="1">
    <w:name w:val="24. References"/>
    <w:qFormat/>
    <w:rsid w:val="00c90584"/>
    <w:pPr>
      <w:widowControl/>
      <w:bidi w:val="0"/>
      <w:spacing w:lineRule="auto" w:line="240" w:before="0" w:after="0"/>
      <w:jc w:val="left"/>
    </w:pPr>
    <w:rPr>
      <w:rFonts w:ascii="Times New Roman" w:hAnsi="Times New Roman" w:eastAsia="" w:cs="" w:cstheme="minorBidi" w:eastAsiaTheme="minorEastAsia"/>
      <w:color w:val="auto"/>
      <w:kern w:val="0"/>
      <w:sz w:val="16"/>
      <w:szCs w:val="22"/>
      <w:lang w:val="en-US" w:eastAsia="en-US" w:bidi="ar-SA"/>
    </w:rPr>
  </w:style>
  <w:style w:type="paragraph" w:styleId="08SectionHeader1" w:customStyle="1">
    <w:name w:val="08 Section Header 1"/>
    <w:qFormat/>
    <w:rsid w:val="00bf64a9"/>
    <w:pPr>
      <w:widowControl/>
      <w:bidi w:val="0"/>
      <w:spacing w:lineRule="auto" w:line="240" w:before="120" w:after="0"/>
      <w:jc w:val="left"/>
    </w:pPr>
    <w:rPr>
      <w:rFonts w:ascii="Arial" w:hAnsi="Arial" w:eastAsia="" w:cs="" w:cstheme="minorBidi" w:eastAsiaTheme="minorEastAsia"/>
      <w:b/>
      <w:color w:val="auto"/>
      <w:kern w:val="0"/>
      <w:sz w:val="20"/>
      <w:szCs w:val="22"/>
      <w:lang w:val="en-US" w:eastAsia="en-US" w:bidi="ar-SA"/>
    </w:rPr>
  </w:style>
  <w:style w:type="paragraph" w:styleId="09BodyFirstParagraph" w:customStyle="1">
    <w:name w:val="09. Body First Paragraph"/>
    <w:basedOn w:val="06AbstractBody"/>
    <w:qFormat/>
    <w:rsid w:val="00bf64a9"/>
    <w:pPr>
      <w:spacing w:before="120" w:after="0"/>
    </w:pPr>
    <w:rPr/>
  </w:style>
  <w:style w:type="paragraph" w:styleId="08SectionHeader2" w:customStyle="1">
    <w:name w:val="08. Section Header 2"/>
    <w:basedOn w:val="08SectionHeader1"/>
    <w:qFormat/>
    <w:rsid w:val="00a568b6"/>
    <w:pPr/>
    <w:rPr>
      <w:b w:val="false"/>
      <w:i/>
    </w:rPr>
  </w:style>
  <w:style w:type="paragraph" w:styleId="Annotationtext">
    <w:name w:val="annotation text"/>
    <w:basedOn w:val="Normal"/>
    <w:link w:val="CommentTextChar"/>
    <w:uiPriority w:val="99"/>
    <w:semiHidden/>
    <w:unhideWhenUsed/>
    <w:qFormat/>
    <w:rsid w:val="005a33e2"/>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5a33e2"/>
    <w:pPr/>
    <w:rPr>
      <w:b/>
      <w:bCs/>
    </w:rPr>
  </w:style>
  <w:style w:type="paragraph" w:styleId="BalloonText">
    <w:name w:val="Balloon Text"/>
    <w:basedOn w:val="Normal"/>
    <w:link w:val="BalloonTextChar"/>
    <w:uiPriority w:val="99"/>
    <w:semiHidden/>
    <w:unhideWhenUsed/>
    <w:qFormat/>
    <w:rsid w:val="005a33e2"/>
    <w:pPr>
      <w:spacing w:lineRule="auto" w:line="240" w:before="0" w:after="0"/>
    </w:pPr>
    <w:rPr>
      <w:rFonts w:ascii="Tahoma" w:hAnsi="Tahoma" w:cs="Tahoma"/>
      <w:sz w:val="16"/>
      <w:szCs w:val="16"/>
    </w:rPr>
  </w:style>
  <w:style w:type="paragraph" w:styleId="08SectionHeader3" w:customStyle="1">
    <w:name w:val="08. Section Header 3"/>
    <w:basedOn w:val="08SectionHeader2"/>
    <w:qFormat/>
    <w:rsid w:val="005a33e2"/>
    <w:pPr/>
    <w:rPr>
      <w:i w:val="false"/>
    </w:rPr>
  </w:style>
  <w:style w:type="paragraph" w:styleId="20FundingSectionHeader" w:customStyle="1">
    <w:name w:val="20. Funding Section Header"/>
    <w:basedOn w:val="08SectionHeader1"/>
    <w:qFormat/>
    <w:rsid w:val="00a55b30"/>
    <w:pPr>
      <w:spacing w:before="120" w:after="120"/>
      <w:ind w:left="360" w:hanging="360"/>
    </w:pPr>
    <w:rPr/>
  </w:style>
  <w:style w:type="paragraph" w:styleId="21AcknowledgmentsSectionHeader" w:customStyle="1">
    <w:name w:val="21. Acknowledgments Section Header"/>
    <w:basedOn w:val="20FundingSectionHeader"/>
    <w:qFormat/>
    <w:rsid w:val="00a55b30"/>
    <w:pPr/>
    <w:rPr/>
  </w:style>
  <w:style w:type="paragraph" w:styleId="12FigureCaptionShort" w:customStyle="1">
    <w:name w:val="12. Figure Caption Short"/>
    <w:basedOn w:val="09BodyFirstParagraph"/>
    <w:qFormat/>
    <w:rsid w:val="00fd5e0d"/>
    <w:pPr>
      <w:spacing w:before="120" w:after="120"/>
      <w:ind w:left="720" w:right="720" w:hanging="0"/>
      <w:jc w:val="center"/>
    </w:pPr>
    <w:rPr>
      <w:sz w:val="16"/>
    </w:rPr>
  </w:style>
  <w:style w:type="paragraph" w:styleId="12FigureCaptionLong" w:customStyle="1">
    <w:name w:val="12. Figure Caption Long"/>
    <w:basedOn w:val="12FigureCaptionShort"/>
    <w:qFormat/>
    <w:rsid w:val="00fd5e0d"/>
    <w:pPr>
      <w:jc w:val="both"/>
    </w:pPr>
    <w:rPr/>
  </w:style>
  <w:style w:type="paragraph" w:styleId="14TableCaption" w:customStyle="1">
    <w:name w:val="14. Table Caption"/>
    <w:basedOn w:val="09BodyFirstParagraph"/>
    <w:qFormat/>
    <w:rsid w:val="0048331c"/>
    <w:pPr>
      <w:spacing w:before="240" w:after="160"/>
      <w:jc w:val="center"/>
    </w:pPr>
    <w:rPr>
      <w:b/>
      <w:sz w:val="16"/>
    </w:rPr>
  </w:style>
  <w:style w:type="paragraph" w:styleId="13Equation" w:customStyle="1">
    <w:name w:val="13. Equation"/>
    <w:basedOn w:val="10BodySubsequentParagraph"/>
    <w:qFormat/>
    <w:rsid w:val="00176184"/>
    <w:pPr>
      <w:tabs>
        <w:tab w:val="center" w:pos="4320" w:leader="none"/>
        <w:tab w:val="right" w:pos="7560" w:leader="none"/>
      </w:tabs>
      <w:spacing w:before="120" w:after="0"/>
      <w:ind w:hanging="0"/>
      <w:jc w:val="left"/>
    </w:pPr>
    <w:rPr/>
  </w:style>
  <w:style w:type="paragraph" w:styleId="16TableFootnote" w:customStyle="1">
    <w:name w:val="16. Table Footnote"/>
    <w:basedOn w:val="09BodyFirstParagraph"/>
    <w:qFormat/>
    <w:rsid w:val="00432e94"/>
    <w:pPr>
      <w:spacing w:before="120" w:after="120"/>
    </w:pPr>
    <w:rPr>
      <w:sz w:val="16"/>
    </w:rPr>
  </w:style>
  <w:style w:type="paragraph" w:styleId="15TableBody" w:customStyle="1">
    <w:name w:val="15. Table Body"/>
    <w:basedOn w:val="09BodyFirstParagraph"/>
    <w:qFormat/>
    <w:rsid w:val="0048331c"/>
    <w:pPr>
      <w:spacing w:before="0" w:after="80"/>
    </w:pPr>
    <w:rPr>
      <w:sz w:val="16"/>
    </w:rPr>
  </w:style>
  <w:style w:type="paragraph" w:styleId="19ListNumber1" w:customStyle="1">
    <w:name w:val="19. List Number 1"/>
    <w:basedOn w:val="10BodySubsequentParagraph"/>
    <w:qFormat/>
    <w:rsid w:val="00fc5dcc"/>
    <w:pPr>
      <w:spacing w:before="120" w:after="0"/>
    </w:pPr>
    <w:rPr/>
  </w:style>
  <w:style w:type="paragraph" w:styleId="05WebAddress" w:customStyle="1">
    <w:name w:val="05. Web Address"/>
    <w:basedOn w:val="04Email"/>
    <w:qFormat/>
    <w:rsid w:val="00cb0396"/>
    <w:pPr/>
    <w:rPr/>
  </w:style>
  <w:style w:type="paragraph" w:styleId="11Figure" w:customStyle="1">
    <w:name w:val="11. Figure"/>
    <w:basedOn w:val="09BodyFirstParagraph"/>
    <w:qFormat/>
    <w:rsid w:val="00fd5e0d"/>
    <w:pPr>
      <w:jc w:val="center"/>
    </w:pPr>
    <w:rPr>
      <w:sz w:val="16"/>
    </w:rPr>
  </w:style>
  <w:style w:type="paragraph" w:styleId="19ListNumber2" w:customStyle="1">
    <w:name w:val="19. List Number 2"/>
    <w:basedOn w:val="19ListNumber1"/>
    <w:qFormat/>
    <w:rsid w:val="00ec0262"/>
    <w:pPr/>
    <w:rPr/>
  </w:style>
  <w:style w:type="paragraph" w:styleId="18ListUnnumbered" w:customStyle="1">
    <w:name w:val="18. List Unnumbered"/>
    <w:basedOn w:val="19ListNumber1"/>
    <w:qFormat/>
    <w:rsid w:val="00062d82"/>
    <w:pPr>
      <w:ind w:left="360" w:firstLine="288"/>
    </w:pPr>
    <w:rPr/>
  </w:style>
  <w:style w:type="paragraph" w:styleId="17ListBulleted" w:customStyle="1">
    <w:name w:val="17. List Bulleted"/>
    <w:basedOn w:val="18ListUnnumbered"/>
    <w:qFormat/>
    <w:rsid w:val="00a035d7"/>
    <w:pPr/>
    <w:rPr/>
  </w:style>
  <w:style w:type="paragraph" w:styleId="02AuthorAO" w:customStyle="1">
    <w:name w:val="02. Author - AO"/>
    <w:basedOn w:val="02AuthorBOE"/>
    <w:qFormat/>
    <w:rsid w:val="005f4008"/>
    <w:pPr/>
    <w:rPr>
      <w:color w:val="26428F"/>
    </w:rPr>
  </w:style>
  <w:style w:type="paragraph" w:styleId="02AuthorJOSAA" w:customStyle="1">
    <w:name w:val="02. Author - JOSAA"/>
    <w:basedOn w:val="02AuthorAO"/>
    <w:qFormat/>
    <w:rsid w:val="005f4008"/>
    <w:pPr/>
    <w:rPr>
      <w:color w:val="4C265B"/>
    </w:rPr>
  </w:style>
  <w:style w:type="paragraph" w:styleId="02AuthorJOSAB" w:customStyle="1">
    <w:name w:val="02. Author - JOSAB"/>
    <w:basedOn w:val="02AuthorJOSAA"/>
    <w:qFormat/>
    <w:rsid w:val="005f4008"/>
    <w:pPr/>
    <w:rPr>
      <w:color w:val="16A14C"/>
    </w:rPr>
  </w:style>
  <w:style w:type="paragraph" w:styleId="02AuthorOptica" w:customStyle="1">
    <w:name w:val="02. Author - Optica"/>
    <w:basedOn w:val="02AuthorJOSAA"/>
    <w:qFormat/>
    <w:rsid w:val="005f4008"/>
    <w:pPr/>
    <w:rPr>
      <w:color w:val="007B4A"/>
    </w:rPr>
  </w:style>
  <w:style w:type="paragraph" w:styleId="02AuthorOL" w:customStyle="1">
    <w:name w:val="02. Author - OL"/>
    <w:basedOn w:val="02AuthorOptica"/>
    <w:qFormat/>
    <w:rsid w:val="005f4008"/>
    <w:pPr/>
    <w:rPr>
      <w:color w:val="254982"/>
    </w:rPr>
  </w:style>
  <w:style w:type="paragraph" w:styleId="22DisclosuresSectionHeader" w:customStyle="1">
    <w:name w:val="22. Disclosures Section Header"/>
    <w:basedOn w:val="21AcknowledgmentsSectionHeader"/>
    <w:qFormat/>
    <w:rsid w:val="007f35cc"/>
    <w:pPr/>
    <w:rPr/>
  </w:style>
  <w:style w:type="paragraph" w:styleId="08SectionHeader11" w:customStyle="1">
    <w:name w:val="08. Section Header 1"/>
    <w:qFormat/>
    <w:rsid w:val="00497360"/>
    <w:pPr>
      <w:widowControl/>
      <w:bidi w:val="0"/>
      <w:spacing w:lineRule="auto" w:line="240" w:before="120" w:after="0"/>
      <w:ind w:left="360" w:hanging="360"/>
      <w:jc w:val="left"/>
    </w:pPr>
    <w:rPr>
      <w:rFonts w:ascii="Arial" w:hAnsi="Arial" w:eastAsia="" w:cs="" w:cstheme="minorBidi" w:eastAsiaTheme="minorEastAsia"/>
      <w:b/>
      <w:color w:val="auto"/>
      <w:kern w:val="0"/>
      <w:sz w:val="20"/>
      <w:szCs w:val="22"/>
      <w:lang w:val="en-US" w:eastAsia="en-US" w:bidi="ar-SA"/>
    </w:rPr>
  </w:style>
  <w:style w:type="paragraph" w:styleId="02AuthorAOP" w:customStyle="1">
    <w:name w:val="02. Author - AOP"/>
    <w:basedOn w:val="02AuthorAO"/>
    <w:qFormat/>
    <w:rsid w:val="00092896"/>
    <w:pPr/>
    <w:rPr>
      <w:color w:val="8F043A"/>
    </w:rPr>
  </w:style>
  <w:style w:type="paragraph" w:styleId="02AuthorPRJ" w:customStyle="1">
    <w:name w:val="02. Author - PRJ"/>
    <w:basedOn w:val="02AuthorOptica"/>
    <w:qFormat/>
    <w:rsid w:val="00bd2f0b"/>
    <w:pPr/>
    <w:rPr>
      <w:color w:val="7E2C2E"/>
    </w:rPr>
  </w:style>
  <w:style w:type="paragraph" w:styleId="02Author" w:customStyle="1">
    <w:name w:val="02. Author"/>
    <w:basedOn w:val="02AuthorAO"/>
    <w:qFormat/>
    <w:rsid w:val="00974bef"/>
    <w:pPr/>
    <w:rPr>
      <w:color w:val="595959" w:themeColor="text1" w:themeTint="a6"/>
    </w:rPr>
  </w:style>
  <w:style w:type="paragraph" w:styleId="02AuthorOSAC" w:customStyle="1">
    <w:name w:val="02. Author - OSAC"/>
    <w:basedOn w:val="02AuthorOME"/>
    <w:qFormat/>
    <w:rsid w:val="00d07434"/>
    <w:pPr/>
    <w:rPr>
      <w:color w:val="006E9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99419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github.com/pytorch/fairseq/blob/master/examples/scaling_nmt/README.md" TargetMode="External"/><Relationship Id="rId5" Type="http://schemas.openxmlformats.org/officeDocument/2006/relationships/hyperlink" Target="https://hackmd.io/s/rJ6TDZPeQ"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hyperlink" Target="http://nlp.seas.harvard.edu/2018/04/03/attention.html" TargetMode="External"/><Relationship Id="rId30" Type="http://schemas.openxmlformats.org/officeDocument/2006/relationships/hyperlink" Target="https://desh2608.github.io/2020-01-08-transformer-asr/" TargetMode="Externa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AEA0E-2C9C-4FB1-8DEC-911EF740D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14629</TotalTime>
  <Application>LibreOffice/6.0.7.3$Linux_X86_64 LibreOffice_project/00m0$Build-3</Application>
  <Pages>19</Pages>
  <Words>2273</Words>
  <Characters>13563</Characters>
  <CharactersWithSpaces>15635</CharactersWithSpaces>
  <Paragraphs>206</Paragraphs>
  <Company>OSA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2020-05-20T17:37:00Z</dcterms:created>
  <dc:creator>Jennifer Mayfield</dc:creator>
  <dc:description/>
  <dc:language>en</dc:language>
  <cp:lastModifiedBy/>
  <dcterms:modified xsi:type="dcterms:W3CDTF">2020-07-05T20:52:06Z</dcterms:modified>
  <cp:revision>274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OSA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