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1C0402"/>
    <w:rsid w:val="00290B13"/>
    <w:rsid w:val="002E0652"/>
    <w:rsid w:val="002E58E0"/>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81889"/>
    <w:rsid w:val="00D865B4"/>
    <w:rsid w:val="00DD73BB"/>
    <w:rsid w:val="00E540DF"/>
    <w:rsid w:val="00EA5DFE"/>
    <w:rsid w:val="00EB15F8"/>
    <w:rsid w:val="00EE2F9B"/>
    <w:rsid w:val="00F04987"/>
    <w:rsid w:val="00F12AE8"/>
    <w:rsid w:val="00F1712C"/>
    <w:rsid w:val="00F4316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24</Pages>
  <Words>6198</Words>
  <Characters>35330</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64</cp:revision>
  <dcterms:created xsi:type="dcterms:W3CDTF">2024-04-04T17:44:00Z</dcterms:created>
  <dcterms:modified xsi:type="dcterms:W3CDTF">2024-04-04T21:47:00Z</dcterms:modified>
</cp:coreProperties>
</file>