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855D8A" w:rsidRDefault="00855D8A" w:rsidP="001971F9">
      <w:pPr>
        <w:spacing w:after="0" w:line="240" w:lineRule="auto"/>
        <w:jc w:val="both"/>
        <w:rPr>
          <w:rFonts w:ascii="Times New Roman" w:hAnsi="Times New Roman"/>
          <w:color w:val="000000"/>
        </w:rPr>
      </w:pP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EE2F9B">
      <w:pPr>
        <w:pStyle w:val="Default"/>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lastRenderedPageBreak/>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EE2F9B">
      <w:pPr>
        <w:pStyle w:val="Default"/>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EE2F9B">
      <w:pPr>
        <w:pStyle w:val="Default"/>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EE2F9B">
      <w:pPr>
        <w:pStyle w:val="Default"/>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 для всех пользователей должна быть запрещена возможность удаления </w:t>
      </w:r>
      <w:r w:rsidRPr="00060927">
        <w:rPr>
          <w:rFonts w:ascii="Times New Roman" w:hAnsi="Times New Roman" w:cs="Times New Roman"/>
          <w:color w:val="000000"/>
        </w:rPr>
        <w:t>пред настроенных</w:t>
      </w:r>
      <w:r w:rsidRPr="00060927">
        <w:rPr>
          <w:rFonts w:ascii="Times New Roman" w:hAnsi="Times New Roman" w:cs="Times New Roman"/>
          <w:color w:val="000000"/>
        </w:rPr>
        <w:t xml:space="preserve"> объектов и отчетности;</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A061EC">
      <w:pPr>
        <w:spacing w:line="360" w:lineRule="auto"/>
        <w:ind w:left="360"/>
        <w:jc w:val="both"/>
        <w:rPr>
          <w:rFonts w:ascii="Times New Roman" w:hAnsi="Times New Roman" w:cs="Times New Roman"/>
          <w:color w:val="000000"/>
        </w:rPr>
      </w:pP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4.3.8. </w:t>
      </w:r>
      <w:r w:rsidRPr="00060927">
        <w:rPr>
          <w:rFonts w:ascii="Times New Roman" w:hAnsi="Times New Roman" w:cs="Times New Roman"/>
          <w:color w:val="000000"/>
          <w:sz w:val="28"/>
          <w:szCs w:val="28"/>
        </w:rPr>
        <w:t>Требования к методическому обеспечению</w:t>
      </w:r>
    </w:p>
    <w:p w:rsidR="00855D8A" w:rsidRDefault="00855D8A" w:rsidP="00855D8A">
      <w:pPr>
        <w:spacing w:after="0" w:line="240" w:lineRule="auto"/>
        <w:jc w:val="both"/>
        <w:rPr>
          <w:rFonts w:ascii="Times New Roman" w:hAnsi="Times New Roman" w:cs="Times New Roman"/>
          <w:color w:val="000000"/>
        </w:rPr>
      </w:pPr>
      <w:r>
        <w:rPr>
          <w:rFonts w:ascii="Times New Roman" w:hAnsi="Times New Roman" w:cs="Times New Roman"/>
          <w:color w:val="000000"/>
        </w:rPr>
        <w:tab/>
        <w:t>Не предъявляются.</w:t>
      </w:r>
    </w:p>
    <w:p w:rsidR="00527B8F" w:rsidRDefault="00527B8F" w:rsidP="00855D8A">
      <w:pPr>
        <w:spacing w:after="0" w:line="240" w:lineRule="auto"/>
        <w:jc w:val="both"/>
        <w:rPr>
          <w:rFonts w:ascii="Times New Roman" w:hAnsi="Times New Roman" w:cs="Times New Roman"/>
          <w:color w:val="000000"/>
        </w:rPr>
      </w:pPr>
    </w:p>
    <w:p w:rsidR="00527B8F" w:rsidRDefault="00527B8F" w:rsidP="00527B8F">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4.3.9. </w:t>
      </w:r>
      <w:r w:rsidRPr="00060927">
        <w:rPr>
          <w:rFonts w:ascii="Times New Roman" w:hAnsi="Times New Roman" w:cs="Times New Roman"/>
          <w:color w:val="000000"/>
          <w:sz w:val="28"/>
          <w:szCs w:val="28"/>
        </w:rPr>
        <w:t xml:space="preserve">Требования к патентной чистоте </w:t>
      </w:r>
    </w:p>
    <w:p w:rsidR="00527B8F" w:rsidRDefault="00527B8F" w:rsidP="00527B8F">
      <w:pPr>
        <w:spacing w:after="0" w:line="240" w:lineRule="auto"/>
        <w:jc w:val="both"/>
        <w:rPr>
          <w:rFonts w:ascii="Times New Roman" w:hAnsi="Times New Roman" w:cs="Times New Roman"/>
          <w:color w:val="000000"/>
        </w:rPr>
      </w:pPr>
      <w:r>
        <w:rPr>
          <w:rFonts w:ascii="Times New Roman" w:hAnsi="Times New Roman" w:cs="Times New Roman"/>
          <w:color w:val="000000"/>
        </w:rPr>
        <w:tab/>
        <w:t>П</w:t>
      </w:r>
      <w:r w:rsidRPr="00060927">
        <w:rPr>
          <w:rFonts w:ascii="Times New Roman" w:hAnsi="Times New Roman" w:cs="Times New Roman"/>
          <w:color w:val="000000"/>
        </w:rPr>
        <w:t xml:space="preserve">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60927">
        <w:rPr>
          <w:rFonts w:ascii="Times New Roman" w:hAnsi="Times New Roman" w:cs="Times New Roman"/>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rsidR="001C0402" w:rsidRDefault="001C0402" w:rsidP="00527B8F">
      <w:pPr>
        <w:spacing w:after="0" w:line="240" w:lineRule="auto"/>
        <w:jc w:val="both"/>
        <w:rPr>
          <w:rFonts w:ascii="Times New Roman" w:hAnsi="Times New Roman" w:cs="Times New Roman"/>
          <w:color w:val="000000"/>
        </w:rPr>
      </w:pP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5. </w:t>
      </w:r>
      <w:r w:rsidRPr="00060927">
        <w:rPr>
          <w:rFonts w:ascii="Times New Roman" w:hAnsi="Times New Roman" w:cs="Times New Roman"/>
          <w:color w:val="000000"/>
          <w:sz w:val="28"/>
          <w:szCs w:val="28"/>
        </w:rPr>
        <w:t>Состав и содержание работ по созданию системы</w:t>
      </w: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Р</w:t>
      </w:r>
      <w:r w:rsidRPr="00060927">
        <w:rPr>
          <w:rFonts w:ascii="Times New Roman" w:hAnsi="Times New Roman" w:cs="Times New Roman"/>
          <w:color w:val="000000"/>
        </w:rPr>
        <w:t xml:space="preserve">аботы по созданию системы выполняются в три этапа: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Проектирование. Разработка эскизного проекта. Разработка технического проекта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Разработка рабочей документации. Адаптация программ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месяцев).</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Ввод в действие (продолжительность — </w:t>
      </w:r>
      <w:r>
        <w:rPr>
          <w:rFonts w:ascii="Times New Roman" w:hAnsi="Times New Roman" w:cs="Times New Roman"/>
          <w:color w:val="000000"/>
        </w:rPr>
        <w:t>4</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w:t>
      </w:r>
      <w:r w:rsidRPr="001C0402">
        <w:rPr>
          <w:rFonts w:ascii="Times New Roman" w:hAnsi="Times New Roman" w:cs="Times New Roman"/>
          <w:color w:val="000000"/>
        </w:rPr>
        <w:t xml:space="preserve">Договора на выполнение работ по настоящему Частному техническому заданию. </w:t>
      </w:r>
      <w:r w:rsidRPr="00060927">
        <w:rPr>
          <w:rFonts w:ascii="Times New Roman" w:hAnsi="Times New Roman" w:cs="Times New Roman"/>
          <w:color w:val="000000"/>
        </w:rPr>
        <w:t xml:space="preserve">Перечень организаций - исполнителей работ, определение ответственных за проведение этих работ организаций определяются Договором. </w:t>
      </w:r>
    </w:p>
    <w:p w:rsidR="001C0402" w:rsidRDefault="001C0402" w:rsidP="00527B8F">
      <w:pPr>
        <w:spacing w:after="0" w:line="240" w:lineRule="auto"/>
        <w:jc w:val="both"/>
        <w:rPr>
          <w:rFonts w:ascii="Times New Roman" w:hAnsi="Times New Roman"/>
          <w:color w:val="000000"/>
        </w:rPr>
      </w:pPr>
    </w:p>
    <w:p w:rsidR="00F4316C" w:rsidRPr="00F4316C" w:rsidRDefault="00F4316C" w:rsidP="00527B8F">
      <w:pPr>
        <w:spacing w:after="0" w:line="240" w:lineRule="auto"/>
        <w:jc w:val="both"/>
        <w:rPr>
          <w:rFonts w:ascii="Times New Roman" w:hAnsi="Times New Roman" w:cs="Times New Roman"/>
          <w:color w:val="000000"/>
          <w:sz w:val="28"/>
          <w:szCs w:val="28"/>
        </w:rPr>
      </w:pPr>
      <w:r w:rsidRPr="00F4316C">
        <w:rPr>
          <w:rFonts w:ascii="Times New Roman" w:hAnsi="Times New Roman" w:cs="Times New Roman"/>
          <w:color w:val="000000"/>
          <w:sz w:val="28"/>
          <w:szCs w:val="28"/>
        </w:rPr>
        <w:t xml:space="preserve">6. </w:t>
      </w:r>
      <w:r w:rsidRPr="00F4316C">
        <w:rPr>
          <w:rFonts w:ascii="Times New Roman" w:hAnsi="Times New Roman" w:cs="Times New Roman"/>
          <w:sz w:val="28"/>
          <w:szCs w:val="28"/>
        </w:rPr>
        <w:t>Порядок контроля и приёмки системы</w:t>
      </w:r>
    </w:p>
    <w:p w:rsidR="00F4316C" w:rsidRDefault="00F4316C" w:rsidP="00F4316C">
      <w:pPr>
        <w:rPr>
          <w:rFonts w:ascii="Times New Roman" w:hAnsi="Times New Roman"/>
          <w:color w:val="000000"/>
        </w:rPr>
      </w:pPr>
    </w:p>
    <w:p w:rsidR="00F4316C" w:rsidRDefault="00F4316C" w:rsidP="00F4316C">
      <w:pPr>
        <w:rPr>
          <w:rFonts w:ascii="Times New Roman" w:hAnsi="Times New Roman" w:cs="Times New Roman"/>
        </w:rPr>
      </w:pPr>
      <w:r w:rsidRPr="00F4316C">
        <w:rPr>
          <w:rFonts w:ascii="Times New Roman" w:hAnsi="Times New Roman" w:cs="Times New Roman"/>
        </w:rPr>
        <w:t>В разделе указывают:</w:t>
      </w:r>
    </w:p>
    <w:p w:rsidR="00F4316C" w:rsidRPr="00F4316C" w:rsidRDefault="00F4316C" w:rsidP="00F4316C">
      <w:pPr>
        <w:rPr>
          <w:rFonts w:ascii="Times New Roman" w:hAnsi="Times New Roman" w:cs="Times New Roman"/>
        </w:rPr>
      </w:pPr>
      <w:r w:rsidRPr="00F4316C">
        <w:rPr>
          <w:rFonts w:ascii="Times New Roman" w:hAnsi="Times New Roman" w:cs="Times New Roman"/>
        </w:rPr>
        <w:lastRenderedPageBreak/>
        <w:br/>
        <w:t>1) виды, состав, объем и методы испытаний системы и ее составных частей (виды испытаний в соответствии с действующими нормами, распространяющимися на разрабатываемую систему);</w:t>
      </w:r>
      <w:r w:rsidRPr="00F4316C">
        <w:rPr>
          <w:rFonts w:ascii="Times New Roman" w:hAnsi="Times New Roman" w:cs="Times New Roman"/>
        </w:rPr>
        <w:br/>
        <w:t>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r w:rsidRPr="00F4316C">
        <w:rPr>
          <w:rFonts w:ascii="Times New Roman" w:hAnsi="Times New Roman" w:cs="Times New Roman"/>
        </w:rPr>
        <w:br/>
        <w:t>З) статус приемочной комиссии (государственная, межведомственная, ведомственная).</w:t>
      </w:r>
    </w:p>
    <w:p w:rsidR="00F4316C" w:rsidRPr="00F4316C" w:rsidRDefault="00F4316C" w:rsidP="00F4316C">
      <w:pPr>
        <w:rPr>
          <w:rFonts w:ascii="Times New Roman" w:hAnsi="Times New Roman" w:cs="Times New Roman"/>
        </w:rPr>
      </w:pPr>
    </w:p>
    <w:p w:rsidR="00527B8F" w:rsidRDefault="00527B8F" w:rsidP="00855D8A">
      <w:pPr>
        <w:spacing w:after="0" w:line="240" w:lineRule="auto"/>
        <w:jc w:val="both"/>
        <w:rPr>
          <w:rFonts w:ascii="Times New Roman" w:hAnsi="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1971F9"/>
    <w:rsid w:val="001C0402"/>
    <w:rsid w:val="00290B13"/>
    <w:rsid w:val="002E0652"/>
    <w:rsid w:val="002E58E0"/>
    <w:rsid w:val="00407A77"/>
    <w:rsid w:val="004E2DF2"/>
    <w:rsid w:val="004E4130"/>
    <w:rsid w:val="00527B8F"/>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55D8A"/>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26CB9"/>
    <w:rsid w:val="00C74225"/>
    <w:rsid w:val="00C74D0E"/>
    <w:rsid w:val="00C94011"/>
    <w:rsid w:val="00CB6D81"/>
    <w:rsid w:val="00CD4240"/>
    <w:rsid w:val="00D03EAB"/>
    <w:rsid w:val="00D81889"/>
    <w:rsid w:val="00D865B4"/>
    <w:rsid w:val="00DD73BB"/>
    <w:rsid w:val="00E540DF"/>
    <w:rsid w:val="00EB15F8"/>
    <w:rsid w:val="00EE2F9B"/>
    <w:rsid w:val="00F04987"/>
    <w:rsid w:val="00F12AE8"/>
    <w:rsid w:val="00F1712C"/>
    <w:rsid w:val="00F4316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22</Pages>
  <Words>5867</Words>
  <Characters>33443</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62</cp:revision>
  <dcterms:created xsi:type="dcterms:W3CDTF">2024-04-04T17:44:00Z</dcterms:created>
  <dcterms:modified xsi:type="dcterms:W3CDTF">2024-04-04T21:42:00Z</dcterms:modified>
</cp:coreProperties>
</file>