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2CC" w14:textId="1FBB46B1" w:rsidR="00AD68FE" w:rsidRPr="0017270D" w:rsidRDefault="00912AD8" w:rsidP="00722976">
      <w:pPr>
        <w:jc w:val="center"/>
        <w:rPr>
          <w:i/>
          <w:iCs/>
          <w:sz w:val="40"/>
          <w:szCs w:val="40"/>
          <w:lang w:val="en-GB"/>
        </w:rPr>
      </w:pPr>
      <w:r w:rsidRPr="0017270D">
        <w:rPr>
          <w:i/>
          <w:iCs/>
          <w:sz w:val="40"/>
          <w:szCs w:val="40"/>
          <w:lang w:val="en-GB"/>
        </w:rPr>
        <w:t>I</w:t>
      </w:r>
      <w:r w:rsidR="00AD68FE" w:rsidRPr="0017270D">
        <w:rPr>
          <w:i/>
          <w:iCs/>
          <w:sz w:val="40"/>
          <w:szCs w:val="40"/>
          <w:lang w:val="en-GB"/>
        </w:rPr>
        <w:t xml:space="preserve">mprovements </w:t>
      </w:r>
      <w:r w:rsidRPr="0017270D">
        <w:rPr>
          <w:i/>
          <w:iCs/>
          <w:sz w:val="40"/>
          <w:szCs w:val="40"/>
          <w:lang w:val="en-GB"/>
        </w:rPr>
        <w:t>for</w:t>
      </w:r>
      <w:r w:rsidR="00AD68FE" w:rsidRPr="0017270D">
        <w:rPr>
          <w:i/>
          <w:iCs/>
          <w:sz w:val="40"/>
          <w:szCs w:val="40"/>
          <w:lang w:val="en-GB"/>
        </w:rPr>
        <w:t xml:space="preserve"> data management strategy</w:t>
      </w:r>
    </w:p>
    <w:p w14:paraId="02EE19C0" w14:textId="18413FEA" w:rsidR="00722976" w:rsidRPr="00722976" w:rsidRDefault="00722976" w:rsidP="00D27663">
      <w:pPr>
        <w:spacing w:before="300" w:after="300"/>
        <w:rPr>
          <w:rFonts w:ascii="Segoe UI" w:eastAsia="Times New Roman" w:hAnsi="Segoe UI" w:cs="Segoe UI"/>
          <w:kern w:val="0"/>
          <w:lang w:val="en-GB" w:eastAsia="en-GB"/>
          <w14:ligatures w14:val="none"/>
        </w:rPr>
      </w:pPr>
      <w:r w:rsidRPr="00722976">
        <w:rPr>
          <w:rFonts w:ascii="Segoe UI" w:eastAsia="Times New Roman" w:hAnsi="Segoe UI" w:cs="Segoe UI"/>
          <w:kern w:val="0"/>
          <w:lang w:val="en-GB" w:eastAsia="en-GB"/>
          <w14:ligatures w14:val="none"/>
        </w:rPr>
        <w:t xml:space="preserve">Efficient data management is pivotal for effective decision-making and maintaining accurate records. After conducting an extensive analysis of the existing data management practices, </w:t>
      </w:r>
      <w:r w:rsidR="00D27663" w:rsidRPr="0017270D">
        <w:rPr>
          <w:rFonts w:ascii="Segoe UI" w:eastAsia="Times New Roman" w:hAnsi="Segoe UI" w:cs="Segoe UI"/>
          <w:kern w:val="0"/>
          <w:lang w:val="en-GB" w:eastAsia="en-GB"/>
          <w14:ligatures w14:val="none"/>
        </w:rPr>
        <w:t xml:space="preserve">we </w:t>
      </w:r>
      <w:r w:rsidRPr="00722976">
        <w:rPr>
          <w:rFonts w:ascii="Segoe UI" w:eastAsia="Times New Roman" w:hAnsi="Segoe UI" w:cs="Segoe UI"/>
          <w:kern w:val="0"/>
          <w:lang w:val="en-GB" w:eastAsia="en-GB"/>
          <w14:ligatures w14:val="none"/>
        </w:rPr>
        <w:t>have identified several areas where improvements can be made to enhance data integrity, consistency, and compatibility. This report outlines these recommendations.</w:t>
      </w:r>
    </w:p>
    <w:p w14:paraId="035E7B93" w14:textId="51D6912E" w:rsidR="00722976" w:rsidRPr="0017270D" w:rsidRDefault="00722976" w:rsidP="00D27663">
      <w:pPr>
        <w:pStyle w:val="ListParagraph"/>
        <w:numPr>
          <w:ilvl w:val="0"/>
          <w:numId w:val="6"/>
        </w:numPr>
        <w:rPr>
          <w:rFonts w:ascii="Segoe UI" w:eastAsia="Times New Roman" w:hAnsi="Segoe UI" w:cs="Segoe UI"/>
          <w:b/>
          <w:bCs/>
          <w:i/>
          <w:iCs/>
          <w:kern w:val="0"/>
          <w:lang w:val="en-GB" w:eastAsia="en-GB"/>
          <w14:ligatures w14:val="none"/>
        </w:rPr>
      </w:pPr>
      <w:r w:rsidRPr="0017270D">
        <w:rPr>
          <w:rFonts w:ascii="Segoe UI" w:eastAsia="Times New Roman" w:hAnsi="Segoe UI" w:cs="Segoe UI"/>
          <w:b/>
          <w:bCs/>
          <w:i/>
          <w:iCs/>
          <w:kern w:val="0"/>
          <w:lang w:val="en-GB" w:eastAsia="en-GB"/>
          <w14:ligatures w14:val="none"/>
        </w:rPr>
        <w:t>Standardize Naming Conventions:</w:t>
      </w:r>
    </w:p>
    <w:p w14:paraId="5AB758F2"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val="en-GB" w:eastAsia="en-GB"/>
          <w14:ligatures w14:val="none"/>
        </w:rPr>
        <w:t>Standardizing naming conventions</w:t>
      </w:r>
      <w:r w:rsidRPr="00722976">
        <w:rPr>
          <w:rFonts w:ascii="Segoe UI" w:eastAsia="Times New Roman" w:hAnsi="Segoe UI" w:cs="Segoe UI"/>
          <w:kern w:val="0"/>
          <w:lang w:eastAsia="en-GB"/>
          <w14:ligatures w14:val="none"/>
        </w:rPr>
        <w:t xml:space="preserve"> is crucial for ensuring consistency and ease of use in data management. I recommend adopting a uniform approach by following the guidelines below:</w:t>
      </w:r>
    </w:p>
    <w:p w14:paraId="46DC22A2"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a. Avoid Capital Letters or Plural Nouns: Use lowercase letters and singular nouns in column names to maintain consistency throughout the dataset.</w:t>
      </w:r>
    </w:p>
    <w:p w14:paraId="06296C88"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b. Eliminate Leading and Trailing Spaces: Remove any leading or trailing spaces in column names to prevent inconsistencies and facilitate data querying and manipulation.</w:t>
      </w:r>
    </w:p>
    <w:p w14:paraId="7E356269" w14:textId="77777777" w:rsidR="00722976" w:rsidRPr="00722976" w:rsidRDefault="00722976" w:rsidP="0017270D">
      <w:pPr>
        <w:pStyle w:val="ListParagraph"/>
        <w:numPr>
          <w:ilvl w:val="0"/>
          <w:numId w:val="6"/>
        </w:numPr>
        <w:rPr>
          <w:rFonts w:ascii="Segoe UI" w:eastAsia="Times New Roman" w:hAnsi="Segoe UI" w:cs="Segoe UI"/>
          <w:b/>
          <w:bCs/>
          <w:i/>
          <w:iCs/>
          <w:kern w:val="0"/>
          <w:lang w:eastAsia="en-GB"/>
          <w14:ligatures w14:val="none"/>
        </w:rPr>
      </w:pPr>
      <w:r w:rsidRPr="00722976">
        <w:rPr>
          <w:rFonts w:ascii="Segoe UI" w:eastAsia="Times New Roman" w:hAnsi="Segoe UI" w:cs="Segoe UI"/>
          <w:b/>
          <w:bCs/>
          <w:i/>
          <w:iCs/>
          <w:kern w:val="0"/>
          <w:lang w:eastAsia="en-GB"/>
          <w14:ligatures w14:val="none"/>
        </w:rPr>
        <w:t>Utilize "Null" for Missing Data:</w:t>
      </w:r>
    </w:p>
    <w:p w14:paraId="610D6182"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To accurately represent missing or unknown data, it is recommended to use the "null" value instead of assigning a numerical value such as 0. This practice improves data quality and enables more accurate analyses and reporting by distinguishing between actual data and missing values.</w:t>
      </w:r>
    </w:p>
    <w:p w14:paraId="5962B2BC" w14:textId="77777777" w:rsidR="00722976" w:rsidRPr="00722976" w:rsidRDefault="00722976" w:rsidP="0017270D">
      <w:pPr>
        <w:pStyle w:val="ListParagraph"/>
        <w:numPr>
          <w:ilvl w:val="0"/>
          <w:numId w:val="6"/>
        </w:numPr>
        <w:rPr>
          <w:rFonts w:ascii="Segoe UI" w:eastAsia="Times New Roman" w:hAnsi="Segoe UI" w:cs="Segoe UI"/>
          <w:b/>
          <w:bCs/>
          <w:i/>
          <w:iCs/>
          <w:kern w:val="0"/>
          <w:lang w:eastAsia="en-GB"/>
          <w14:ligatures w14:val="none"/>
        </w:rPr>
      </w:pPr>
      <w:r w:rsidRPr="00722976">
        <w:rPr>
          <w:rFonts w:ascii="Segoe UI" w:eastAsia="Times New Roman" w:hAnsi="Segoe UI" w:cs="Segoe UI"/>
          <w:b/>
          <w:bCs/>
          <w:i/>
          <w:iCs/>
          <w:kern w:val="0"/>
          <w:lang w:eastAsia="en-GB"/>
          <w14:ligatures w14:val="none"/>
        </w:rPr>
        <w:t>Enhance Compatibility with National Datasets:</w:t>
      </w:r>
    </w:p>
    <w:p w14:paraId="3A6FAF76"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To align the municipality's data with national datasets and facilitate data exchange and integration, the following steps should be taken:</w:t>
      </w:r>
    </w:p>
    <w:p w14:paraId="69AB218C"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a. Review Standard Data Formats: Assess the standard data formats used at the national level and ensure compatibility by adopting the appropriate formats for data storage and exchange.</w:t>
      </w:r>
    </w:p>
    <w:p w14:paraId="6532F656"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t>b. Align Schemas and Definitions: Compare the municipality's data schemas and definitions with the national standards and make the necessary adjustments to ensure consistency and compatibility.</w:t>
      </w:r>
    </w:p>
    <w:p w14:paraId="6F213275" w14:textId="77777777" w:rsidR="00722976" w:rsidRPr="00722976" w:rsidRDefault="00722976" w:rsidP="0017270D">
      <w:pPr>
        <w:pStyle w:val="ListParagraph"/>
        <w:numPr>
          <w:ilvl w:val="0"/>
          <w:numId w:val="6"/>
        </w:numPr>
        <w:rPr>
          <w:rFonts w:ascii="Segoe UI" w:eastAsia="Times New Roman" w:hAnsi="Segoe UI" w:cs="Segoe UI"/>
          <w:b/>
          <w:bCs/>
          <w:i/>
          <w:iCs/>
          <w:kern w:val="0"/>
          <w:lang w:eastAsia="en-GB"/>
          <w14:ligatures w14:val="none"/>
        </w:rPr>
      </w:pPr>
      <w:r w:rsidRPr="00722976">
        <w:rPr>
          <w:rFonts w:ascii="Segoe UI" w:eastAsia="Times New Roman" w:hAnsi="Segoe UI" w:cs="Segoe UI"/>
          <w:b/>
          <w:bCs/>
          <w:i/>
          <w:iCs/>
          <w:kern w:val="0"/>
          <w:lang w:eastAsia="en-GB"/>
          <w14:ligatures w14:val="none"/>
        </w:rPr>
        <w:t>Standardize Column Names Across Tables:</w:t>
      </w:r>
    </w:p>
    <w:p w14:paraId="67999DF3" w14:textId="77777777" w:rsidR="00722976" w:rsidRPr="00722976" w:rsidRDefault="00722976" w:rsidP="00D27663">
      <w:pPr>
        <w:spacing w:before="300" w:after="300"/>
        <w:rPr>
          <w:rFonts w:ascii="Segoe UI" w:eastAsia="Times New Roman" w:hAnsi="Segoe UI" w:cs="Segoe UI"/>
          <w:kern w:val="0"/>
          <w:lang w:eastAsia="en-GB"/>
          <w14:ligatures w14:val="none"/>
        </w:rPr>
      </w:pPr>
      <w:r w:rsidRPr="00722976">
        <w:rPr>
          <w:rFonts w:ascii="Segoe UI" w:eastAsia="Times New Roman" w:hAnsi="Segoe UI" w:cs="Segoe UI"/>
          <w:kern w:val="0"/>
          <w:lang w:eastAsia="en-GB"/>
          <w14:ligatures w14:val="none"/>
        </w:rPr>
        <w:lastRenderedPageBreak/>
        <w:t>To enhance data coherence and ease of integration, it is essential to use consistent column names across all tables within the municipality's database. This practice enables seamless data merging and reduces confusion and redundancy, resulting in improved data quality and analysis.</w:t>
      </w:r>
    </w:p>
    <w:p w14:paraId="0AA6ED4E" w14:textId="5E03E2BC" w:rsidR="00153234" w:rsidRDefault="00722976" w:rsidP="00D27663">
      <w:pPr>
        <w:rPr>
          <w:rFonts w:ascii="Segoe UI" w:eastAsia="Times New Roman" w:hAnsi="Segoe UI" w:cs="Segoe UI"/>
          <w:kern w:val="0"/>
          <w:lang w:eastAsia="en-GB"/>
          <w14:ligatures w14:val="none"/>
        </w:rPr>
      </w:pPr>
      <w:r w:rsidRPr="00DE6DC9">
        <w:rPr>
          <w:rFonts w:ascii="Segoe UI" w:eastAsia="Times New Roman" w:hAnsi="Segoe UI" w:cs="Segoe UI"/>
          <w:kern w:val="0"/>
          <w:lang w:eastAsia="en-GB"/>
          <w14:ligatures w14:val="none"/>
        </w:rPr>
        <w:t>By implementing the recommended improvements outlined in this report, the municipality can significantly enhance its data management strategy. These changes will lead to improved data integrity, compatibility with national datasets, and enhanced efficiency in data processing, analysis, and reporting. Moreover, standardized naming conventions and the use of "null" for missing data will promote consistency and facilitate data integration across various systems.</w:t>
      </w:r>
    </w:p>
    <w:p w14:paraId="298B3F30" w14:textId="5DB57F28" w:rsidR="00AD68FE" w:rsidRPr="00DE6DC9" w:rsidRDefault="00153234" w:rsidP="00D27663">
      <w:pPr>
        <w:rPr>
          <w:rFonts w:ascii="Segoe UI" w:eastAsia="Times New Roman" w:hAnsi="Segoe UI" w:cs="Segoe UI"/>
          <w:kern w:val="0"/>
          <w:lang w:eastAsia="en-GB"/>
          <w14:ligatures w14:val="none"/>
        </w:rPr>
      </w:pPr>
      <w:r>
        <w:rPr>
          <w:rFonts w:ascii="Segoe UI" w:eastAsia="Times New Roman" w:hAnsi="Segoe UI" w:cs="Segoe UI"/>
          <w:kern w:val="0"/>
          <w:lang w:eastAsia="en-GB"/>
          <w14:ligatures w14:val="none"/>
        </w:rPr>
        <w:br w:type="page"/>
      </w:r>
    </w:p>
    <w:p w14:paraId="0160CB1B" w14:textId="77777777" w:rsidR="00AD68FE" w:rsidRPr="00DE6DC9" w:rsidRDefault="00AD68FE" w:rsidP="00D27663"/>
    <w:p w14:paraId="6C292AE8" w14:textId="2ECBC171" w:rsidR="00AD68FE" w:rsidRPr="002B2B73" w:rsidRDefault="00546043" w:rsidP="00546043">
      <w:pPr>
        <w:jc w:val="center"/>
        <w:rPr>
          <w:i/>
          <w:iCs/>
          <w:sz w:val="40"/>
          <w:szCs w:val="40"/>
        </w:rPr>
      </w:pPr>
      <w:r w:rsidRPr="002B2B73">
        <w:rPr>
          <w:i/>
          <w:iCs/>
          <w:sz w:val="40"/>
          <w:szCs w:val="40"/>
          <w:lang w:val="hu-HU"/>
        </w:rPr>
        <w:t>D</w:t>
      </w:r>
      <w:r w:rsidR="00AD68FE" w:rsidRPr="002B2B73">
        <w:rPr>
          <w:i/>
          <w:iCs/>
          <w:sz w:val="40"/>
          <w:szCs w:val="40"/>
        </w:rPr>
        <w:t>ata quality repor</w:t>
      </w:r>
      <w:r w:rsidR="00AD68FE" w:rsidRPr="002B2B73">
        <w:rPr>
          <w:i/>
          <w:iCs/>
          <w:sz w:val="40"/>
          <w:szCs w:val="40"/>
        </w:rPr>
        <w:t>t</w:t>
      </w:r>
    </w:p>
    <w:p w14:paraId="6908B682" w14:textId="77777777" w:rsidR="00A15129" w:rsidRPr="00A15129" w:rsidRDefault="00A15129" w:rsidP="00A15129">
      <w:pPr>
        <w:rPr>
          <w:rFonts w:ascii="Segoe UI" w:eastAsia="Times New Roman" w:hAnsi="Segoe UI" w:cs="Segoe UI"/>
          <w:kern w:val="0"/>
          <w:lang w:eastAsia="en-GB"/>
          <w14:ligatures w14:val="none"/>
        </w:rPr>
      </w:pPr>
      <w:r w:rsidRPr="00A15129">
        <w:rPr>
          <w:rFonts w:ascii="Segoe UI" w:eastAsia="Times New Roman" w:hAnsi="Segoe UI" w:cs="Segoe UI"/>
          <w:kern w:val="0"/>
          <w:lang w:eastAsia="en-GB"/>
          <w14:ligatures w14:val="none"/>
        </w:rPr>
        <w:t>This report aims to evaluate the quality of the datasets utilized in a project analyzing various aspects of Breda's municipality. The datasets were obtained from reputable and official sources, including the municipality of Breda and the Dutch police. The assessment will focus on several key factors, including accuracy, reliability, completeness, and potential limitations of the data.</w:t>
      </w:r>
    </w:p>
    <w:p w14:paraId="0E4E977C" w14:textId="77777777" w:rsidR="00A15129" w:rsidRPr="00A15129" w:rsidRDefault="00A15129" w:rsidP="00A15129">
      <w:pPr>
        <w:rPr>
          <w:rFonts w:ascii="Segoe UI" w:eastAsia="Times New Roman" w:hAnsi="Segoe UI" w:cs="Segoe UI"/>
          <w:kern w:val="0"/>
          <w:lang w:eastAsia="en-GB"/>
          <w14:ligatures w14:val="none"/>
        </w:rPr>
      </w:pPr>
      <w:r w:rsidRPr="00A15129">
        <w:rPr>
          <w:rFonts w:ascii="Segoe UI" w:eastAsia="Times New Roman" w:hAnsi="Segoe UI" w:cs="Segoe UI"/>
          <w:kern w:val="0"/>
          <w:lang w:eastAsia="en-GB"/>
          <w14:ligatures w14:val="none"/>
        </w:rPr>
        <w:t>In addition to evaluating the aforementioned aspects, it is important to highlight that a comprehensive data management strategy report was also developed as part of this project. The data management strategy report not only addresses the quality of the datasets but also delves into the identification and analysis of problems present within the dataset. Furthermore, the report proposes potential improvements and recommendations to enhance the overall quality and usability of the data.</w:t>
      </w:r>
    </w:p>
    <w:p w14:paraId="781625FE" w14:textId="77777777" w:rsidR="00A15129" w:rsidRPr="00A15129" w:rsidRDefault="00A15129" w:rsidP="00A15129">
      <w:pPr>
        <w:rPr>
          <w:rFonts w:ascii="Segoe UI" w:eastAsia="Times New Roman" w:hAnsi="Segoe UI" w:cs="Segoe UI"/>
          <w:kern w:val="0"/>
          <w:lang w:eastAsia="en-GB"/>
          <w14:ligatures w14:val="none"/>
        </w:rPr>
      </w:pPr>
      <w:r w:rsidRPr="00A15129">
        <w:rPr>
          <w:rFonts w:ascii="Segoe UI" w:eastAsia="Times New Roman" w:hAnsi="Segoe UI" w:cs="Segoe UI"/>
          <w:kern w:val="0"/>
          <w:lang w:eastAsia="en-GB"/>
          <w14:ligatures w14:val="none"/>
        </w:rPr>
        <w:t>By conducting a thorough assessment of the datasets used in the project, this report aims to provide insights into the reliability of the data sources and the validity of the analysis conducted based on these datasets. Identifying any limitations or deficiencies within the data will enable a more accurate interpretation of the findings and assist in making informed decisions based on the analysis.</w:t>
      </w:r>
    </w:p>
    <w:p w14:paraId="4D7E058D" w14:textId="77777777" w:rsidR="00A15129" w:rsidRPr="00A15129" w:rsidRDefault="00A15129" w:rsidP="00A15129">
      <w:pPr>
        <w:rPr>
          <w:rFonts w:ascii="Segoe UI" w:eastAsia="Times New Roman" w:hAnsi="Segoe UI" w:cs="Segoe UI"/>
          <w:kern w:val="0"/>
          <w:lang w:eastAsia="en-GB"/>
          <w14:ligatures w14:val="none"/>
        </w:rPr>
      </w:pPr>
      <w:r w:rsidRPr="00A15129">
        <w:rPr>
          <w:rFonts w:ascii="Segoe UI" w:eastAsia="Times New Roman" w:hAnsi="Segoe UI" w:cs="Segoe UI"/>
          <w:kern w:val="0"/>
          <w:lang w:eastAsia="en-GB"/>
          <w14:ligatures w14:val="none"/>
        </w:rPr>
        <w:t>Through this comprehensive assessment, stakeholders involved in the project will gain a better understanding of the datasets' strengths and weaknesses, allowing for more reliable and informed decision-making processes.</w:t>
      </w:r>
    </w:p>
    <w:p w14:paraId="545A6CCE" w14:textId="77777777" w:rsidR="0017270D" w:rsidRPr="00921F09" w:rsidRDefault="0017270D" w:rsidP="00921F09">
      <w:pPr>
        <w:pStyle w:val="NormalWeb"/>
        <w:numPr>
          <w:ilvl w:val="0"/>
          <w:numId w:val="7"/>
        </w:numPr>
        <w:spacing w:before="0" w:beforeAutospacing="0" w:after="0" w:afterAutospacing="0"/>
        <w:rPr>
          <w:rFonts w:ascii="Segoe UI" w:hAnsi="Segoe UI" w:cs="Segoe UI"/>
        </w:rPr>
      </w:pPr>
      <w:r w:rsidRPr="00421C99">
        <w:rPr>
          <w:rFonts w:ascii="Segoe UI" w:hAnsi="Segoe UI" w:cs="Segoe UI"/>
          <w:b/>
          <w:bCs/>
          <w:i/>
          <w:iCs/>
        </w:rPr>
        <w:t>Lighting, Work Locations, Sport Buildings, and Neighborhoods:</w:t>
      </w:r>
      <w:r w:rsidRPr="00921F09">
        <w:rPr>
          <w:rFonts w:ascii="Segoe UI" w:hAnsi="Segoe UI" w:cs="Segoe UI"/>
        </w:rPr>
        <w:t xml:space="preserve"> The datasets for lighting, work locations, sport buildings, and neighborhoods were obtained from the municipality of Breda's website, which is considered a trustworthy source. As the datasets originate from an official source, their accuracy and reliability can be assumed. However, it is recommended to verify the datasets against the latest updates from the municipality to ensure the information remains current.</w:t>
      </w:r>
    </w:p>
    <w:p w14:paraId="2C0CFAF8" w14:textId="77777777" w:rsidR="0017270D" w:rsidRPr="00921F09" w:rsidRDefault="0017270D" w:rsidP="00921F09">
      <w:pPr>
        <w:pStyle w:val="NormalWeb"/>
        <w:numPr>
          <w:ilvl w:val="0"/>
          <w:numId w:val="7"/>
        </w:numPr>
        <w:spacing w:before="0" w:beforeAutospacing="0" w:after="0" w:afterAutospacing="0"/>
        <w:rPr>
          <w:rFonts w:ascii="Segoe UI" w:hAnsi="Segoe UI" w:cs="Segoe UI"/>
        </w:rPr>
      </w:pPr>
      <w:r w:rsidRPr="00421C99">
        <w:rPr>
          <w:rFonts w:ascii="Segoe UI" w:hAnsi="Segoe UI" w:cs="Segoe UI"/>
          <w:b/>
          <w:bCs/>
          <w:i/>
          <w:iCs/>
        </w:rPr>
        <w:t>Neighborhood Index (Livability Scores and Green Scores):</w:t>
      </w:r>
      <w:r w:rsidRPr="00921F09">
        <w:rPr>
          <w:rFonts w:ascii="Segoe UI" w:hAnsi="Segoe UI" w:cs="Segoe UI"/>
        </w:rPr>
        <w:t xml:space="preserve"> The dataset for the neighborhood index was extracted from the municipality of Breda's SQL server, which serves as a reliable reference for this type of data. The accuracy and reliability of the dataset can be expected. To maintain data quality, it is important to periodically synchronize the dataset with the municipality's SQL server to capture any changes or updates to the livability scores and green scores.</w:t>
      </w:r>
    </w:p>
    <w:p w14:paraId="0904D7A9" w14:textId="77777777" w:rsidR="0017270D" w:rsidRPr="00921F09" w:rsidRDefault="0017270D" w:rsidP="00921F09">
      <w:pPr>
        <w:pStyle w:val="NormalWeb"/>
        <w:numPr>
          <w:ilvl w:val="0"/>
          <w:numId w:val="7"/>
        </w:numPr>
        <w:spacing w:before="0" w:beforeAutospacing="0" w:after="0" w:afterAutospacing="0"/>
        <w:rPr>
          <w:rFonts w:ascii="Segoe UI" w:hAnsi="Segoe UI" w:cs="Segoe UI"/>
        </w:rPr>
      </w:pPr>
      <w:r w:rsidRPr="00421C99">
        <w:rPr>
          <w:rFonts w:ascii="Segoe UI" w:hAnsi="Segoe UI" w:cs="Segoe UI"/>
          <w:b/>
          <w:bCs/>
          <w:i/>
          <w:iCs/>
        </w:rPr>
        <w:t>Nuisances and Crime by Type:</w:t>
      </w:r>
      <w:r w:rsidRPr="00421C99">
        <w:rPr>
          <w:rFonts w:ascii="Segoe UI" w:hAnsi="Segoe UI" w:cs="Segoe UI"/>
          <w:i/>
          <w:iCs/>
        </w:rPr>
        <w:t xml:space="preserve"> </w:t>
      </w:r>
      <w:r w:rsidRPr="00921F09">
        <w:rPr>
          <w:rFonts w:ascii="Segoe UI" w:hAnsi="Segoe UI" w:cs="Segoe UI"/>
        </w:rPr>
        <w:t xml:space="preserve">The datasets for nuisances and crime by type are sourced from the Dutch police website, widely recognized as a reputable and authoritative source of crime data in the Netherlands. The Dutch police maintain robust data collection and reporting systems, adhering to standardized procedures and methodologies to ensure the accuracy and reliability of the information provided. However, it is crucial to acknowledge that the crime data collected by the police relies on reported incidents. This reliance on reported incidents may lead to potential underrepresentation of </w:t>
      </w:r>
      <w:r w:rsidRPr="00921F09">
        <w:rPr>
          <w:rFonts w:ascii="Segoe UI" w:hAnsi="Segoe UI" w:cs="Segoe UI"/>
        </w:rPr>
        <w:lastRenderedPageBreak/>
        <w:t>certain types of offenses in the dataset. Crimes that are less likely to be reported or have lower reporting rates might introduce a level of bias or incompleteness in the analysis. Therefore, caution should be exercised when interpreting and generalizing the findings related to crime and nuisance analysis.</w:t>
      </w:r>
    </w:p>
    <w:p w14:paraId="2287FA66" w14:textId="77777777" w:rsidR="00546043" w:rsidRPr="00921F09" w:rsidRDefault="00546043" w:rsidP="00921F09">
      <w:pPr>
        <w:rPr>
          <w:i/>
          <w:iCs/>
          <w:sz w:val="32"/>
          <w:szCs w:val="32"/>
        </w:rPr>
      </w:pPr>
    </w:p>
    <w:p w14:paraId="253C4439" w14:textId="0F005FA6" w:rsidR="00546043" w:rsidRPr="00546043" w:rsidRDefault="00546043" w:rsidP="00546043">
      <w:pPr>
        <w:jc w:val="center"/>
        <w:rPr>
          <w:lang w:val="hu-HU"/>
        </w:rPr>
      </w:pPr>
    </w:p>
    <w:sectPr w:rsidR="00546043" w:rsidRPr="00546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6F7"/>
    <w:multiLevelType w:val="multilevel"/>
    <w:tmpl w:val="04E8A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8048C"/>
    <w:multiLevelType w:val="multilevel"/>
    <w:tmpl w:val="04E8A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33676"/>
    <w:multiLevelType w:val="hybridMultilevel"/>
    <w:tmpl w:val="C3201CA0"/>
    <w:lvl w:ilvl="0" w:tplc="040E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12534B"/>
    <w:multiLevelType w:val="multilevel"/>
    <w:tmpl w:val="04E8A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A289A"/>
    <w:multiLevelType w:val="hybridMultilevel"/>
    <w:tmpl w:val="1A5CA1B6"/>
    <w:lvl w:ilvl="0" w:tplc="366E7E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F0B34"/>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1DD8"/>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155453">
    <w:abstractNumId w:val="4"/>
  </w:num>
  <w:num w:numId="2" w16cid:durableId="1630932433">
    <w:abstractNumId w:val="5"/>
  </w:num>
  <w:num w:numId="3" w16cid:durableId="1257060730">
    <w:abstractNumId w:val="1"/>
  </w:num>
  <w:num w:numId="4" w16cid:durableId="1222209864">
    <w:abstractNumId w:val="3"/>
  </w:num>
  <w:num w:numId="5" w16cid:durableId="588077700">
    <w:abstractNumId w:val="0"/>
  </w:num>
  <w:num w:numId="6" w16cid:durableId="1611550587">
    <w:abstractNumId w:val="2"/>
  </w:num>
  <w:num w:numId="7" w16cid:durableId="1358970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FE"/>
    <w:rsid w:val="00153234"/>
    <w:rsid w:val="0017270D"/>
    <w:rsid w:val="002B2B73"/>
    <w:rsid w:val="00421C99"/>
    <w:rsid w:val="00546043"/>
    <w:rsid w:val="00722976"/>
    <w:rsid w:val="00761D4F"/>
    <w:rsid w:val="00912AD8"/>
    <w:rsid w:val="00921F09"/>
    <w:rsid w:val="009A7C32"/>
    <w:rsid w:val="009E5171"/>
    <w:rsid w:val="00A15129"/>
    <w:rsid w:val="00A616E5"/>
    <w:rsid w:val="00AD68FE"/>
    <w:rsid w:val="00D27663"/>
    <w:rsid w:val="00DE6DC9"/>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BCC4"/>
  <w15:chartTrackingRefBased/>
  <w15:docId w15:val="{1333E5AD-1AB0-8D43-BF98-0A0A0FE7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FE"/>
    <w:pPr>
      <w:ind w:left="720"/>
      <w:contextualSpacing/>
    </w:pPr>
  </w:style>
  <w:style w:type="paragraph" w:styleId="NormalWeb">
    <w:name w:val="Normal (Web)"/>
    <w:basedOn w:val="Normal"/>
    <w:uiPriority w:val="99"/>
    <w:semiHidden/>
    <w:unhideWhenUsed/>
    <w:rsid w:val="0072297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54883">
      <w:bodyDiv w:val="1"/>
      <w:marLeft w:val="0"/>
      <w:marRight w:val="0"/>
      <w:marTop w:val="0"/>
      <w:marBottom w:val="0"/>
      <w:divBdr>
        <w:top w:val="none" w:sz="0" w:space="0" w:color="auto"/>
        <w:left w:val="none" w:sz="0" w:space="0" w:color="auto"/>
        <w:bottom w:val="none" w:sz="0" w:space="0" w:color="auto"/>
        <w:right w:val="none" w:sz="0" w:space="0" w:color="auto"/>
      </w:divBdr>
    </w:div>
    <w:div w:id="1838308139">
      <w:bodyDiv w:val="1"/>
      <w:marLeft w:val="0"/>
      <w:marRight w:val="0"/>
      <w:marTop w:val="0"/>
      <w:marBottom w:val="0"/>
      <w:divBdr>
        <w:top w:val="none" w:sz="0" w:space="0" w:color="auto"/>
        <w:left w:val="none" w:sz="0" w:space="0" w:color="auto"/>
        <w:bottom w:val="none" w:sz="0" w:space="0" w:color="auto"/>
        <w:right w:val="none" w:sz="0" w:space="0" w:color="auto"/>
      </w:divBdr>
    </w:div>
    <w:div w:id="19563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365D1-327B-BB44-AA00-89785001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 Pfandler</dc:creator>
  <cp:keywords/>
  <dc:description/>
  <cp:lastModifiedBy>Panna Pfandler</cp:lastModifiedBy>
  <cp:revision>10</cp:revision>
  <dcterms:created xsi:type="dcterms:W3CDTF">2023-06-07T07:27:00Z</dcterms:created>
  <dcterms:modified xsi:type="dcterms:W3CDTF">2023-06-09T08:30:00Z</dcterms:modified>
</cp:coreProperties>
</file>