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ind w:firstLine="709"/>
        <w:contextualSpacing/>
        <w:jc w:val="both"/>
      </w:pPr>
      <w:r>
        <w:rPr>
          <w:highlight w:val="yellow"/>
        </w:rPr>
        <w:t xml:space="preserve">[Вставить в 1.3 после абзаца «Программное средство должно быть реализовано как клиент-серверное веб-приложение…» и перед абзацем «Функциональность программного средства для разных категорий пользователей…». Эту строку удалить.]</w:t>
      </w:r>
    </w:p>
    <w:p>
      <w:pPr>
        <w:ind w:firstLine="709"/>
        <w:contextualSpacing/>
        <w:jc w:val="both"/>
      </w:pPr>
      <w:r>
        <w:t>Создание программного средства позволит банку:</w:t>
      </w:r>
    </w:p>
    <w:p>
      <w:pPr>
        <w:pStyle w:val="a7"/>
        <w:numPr>
          <w:ilvl w:val="0"/>
          <w:numId w:val="1"/>
        </w:numPr>
        <w:tabs>
          <w:tab w:val="left" w:pos="993"/>
        </w:tabs>
        <w:ind w:left="0" w:firstLine="709"/>
        <w:contextualSpacing/>
        <w:jc w:val="both"/>
      </w:pPr>
      <w:r>
        <w:t xml:space="preserve">предоставить клиентам круглосуточный доступ к счетам, переводам, платежам, вкладам, кредитам и банковским картам без посещения отделения;</w:t>
      </w:r>
    </w:p>
    <w:p>
      <w:pPr>
        <w:pStyle w:val="a7"/>
        <w:numPr>
          <w:ilvl w:val="0"/>
          <w:numId w:val="1"/>
        </w:numPr>
        <w:tabs>
          <w:tab w:val="left" w:pos="993"/>
        </w:tabs>
        <w:ind w:left="0" w:firstLine="709"/>
        <w:contextualSpacing/>
        <w:jc w:val="both"/>
      </w:pPr>
      <w:r>
        <w:t xml:space="preserve">вести учёт операций по принципу двойной записи с полной неизменяемой историей и автоматической проверкой сбалансированности;</w:t>
      </w:r>
    </w:p>
    <w:p>
      <w:pPr>
        <w:pStyle w:val="a7"/>
        <w:numPr>
          <w:ilvl w:val="0"/>
          <w:numId w:val="1"/>
        </w:numPr>
        <w:tabs>
          <w:tab w:val="left" w:pos="993"/>
        </w:tabs>
        <w:ind w:left="0" w:firstLine="709"/>
        <w:contextualSpacing/>
        <w:jc w:val="both"/>
      </w:pPr>
      <w:r>
        <w:t xml:space="preserve">принимать решения по кредитным заявкам по формализованным правилам: рассчитывать долговую нагрузку и вероятность дефолта и автоматически одобрять, направлять на ручное рассмотрение или отклонять заявки;</w:t>
      </w:r>
    </w:p>
    <w:p>
      <w:pPr>
        <w:pStyle w:val="a7"/>
        <w:numPr>
          <w:ilvl w:val="0"/>
          <w:numId w:val="1"/>
        </w:numPr>
        <w:tabs>
          <w:tab w:val="left" w:pos="993"/>
        </w:tabs>
        <w:ind w:left="0" w:firstLine="709"/>
        <w:contextualSpacing/>
        <w:jc w:val="both"/>
      </w:pPr>
      <w:r>
        <w:t xml:space="preserve">выявлять подозрительные переводы по правилам контроля и приостанавливать их до решения специалиста по финансовому мониторингу;</w:t>
      </w:r>
    </w:p>
    <w:p>
      <w:pPr>
        <w:pStyle w:val="a7"/>
        <w:numPr>
          <w:ilvl w:val="0"/>
          <w:numId w:val="1"/>
        </w:numPr>
        <w:tabs>
          <w:tab w:val="left" w:pos="993"/>
        </w:tabs>
        <w:ind w:left="0" w:firstLine="709"/>
        <w:contextualSpacing/>
        <w:jc w:val="both"/>
      </w:pPr>
      <w:r>
        <w:t xml:space="preserve">выполнять регламентные операции (проценты по вкладам, обслуживание кредитов, автоплатежи, межбанковский клиринг) при закрытии операционного дня;</w:t>
      </w:r>
    </w:p>
    <w:p>
      <w:pPr>
        <w:pStyle w:val="a7"/>
        <w:numPr>
          <w:ilvl w:val="0"/>
          <w:numId w:val="1"/>
        </w:numPr>
        <w:tabs>
          <w:tab w:val="left" w:pos="993"/>
        </w:tabs>
        <w:ind w:left="0" w:firstLine="709"/>
        <w:contextualSpacing/>
        <w:jc w:val="both"/>
      </w:pPr>
      <w:r>
        <w:t xml:space="preserve">разграничить права сотрудников банка и сохранять данные клиентов с помощью шифрования, журнала действий и резервного копирования.</w:t>
      </w:r>
    </w:p>
    <w:p>
      <w:pPr>
        <w:ind w:firstLine="709"/>
        <w:contextualSpacing/>
        <w:jc w:val="both"/>
      </w:pPr>
      <w:r>
        <w:t xml:space="preserve">Бизнес-цели описывают, каких результатов организация хочет добиться с помощью проекта и по каким признакам можно судить, что результат достигнут. В отличие от функциональных требований, они отвечают не на вопрос «что делает система», а на вопрос «зачем она нужна банку». Для проекта поставлены следующие цели:</w:t>
      </w:r>
    </w:p>
    <w:p>
      <w:pPr>
        <w:pStyle w:val="a7"/>
        <w:numPr>
          <w:ilvl w:val="0"/>
          <w:numId w:val="1"/>
        </w:numPr>
        <w:tabs>
          <w:tab w:val="left" w:pos="993"/>
        </w:tabs>
        <w:ind w:left="0" w:firstLine="709"/>
        <w:contextualSpacing/>
        <w:jc w:val="both"/>
      </w:pPr>
      <w:r>
        <w:t xml:space="preserve">расширить дистанционное обслуживание: все основные группы банковских услуг доступны клиенту в системе, визит в отделение нужен только для внесения и получения наличных;</w:t>
      </w:r>
    </w:p>
    <w:p>
      <w:pPr>
        <w:pStyle w:val="a7"/>
        <w:numPr>
          <w:ilvl w:val="0"/>
          <w:numId w:val="1"/>
        </w:numPr>
        <w:tabs>
          <w:tab w:val="left" w:pos="993"/>
        </w:tabs>
        <w:ind w:left="0" w:firstLine="709"/>
        <w:contextualSpacing/>
        <w:jc w:val="both"/>
      </w:pPr>
      <w:r>
        <w:t xml:space="preserve">сократить трудоёмкость кредитного процесса: кредитный специалист рассматривает только заявки, направленные на ручное рассмотрение;</w:t>
      </w:r>
    </w:p>
    <w:p>
      <w:pPr>
        <w:pStyle w:val="a7"/>
        <w:numPr>
          <w:ilvl w:val="0"/>
          <w:numId w:val="1"/>
        </w:numPr>
        <w:tabs>
          <w:tab w:val="left" w:pos="993"/>
        </w:tabs>
        <w:ind w:left="0" w:firstLine="709"/>
        <w:contextualSpacing/>
        <w:jc w:val="both"/>
      </w:pPr>
      <w:r>
        <w:t xml:space="preserve">обеспечить достоверность учёта: при закрытии каждого операционного дня сумма остатков по каждой валюте равна нулю, проводки не изменяются и не удаляются;</w:t>
      </w:r>
    </w:p>
    <w:p>
      <w:pPr>
        <w:pStyle w:val="a7"/>
        <w:numPr>
          <w:ilvl w:val="0"/>
          <w:numId w:val="1"/>
        </w:numPr>
        <w:tabs>
          <w:tab w:val="left" w:pos="993"/>
        </w:tabs>
        <w:ind w:left="0" w:firstLine="709"/>
        <w:contextualSpacing/>
        <w:jc w:val="both"/>
      </w:pPr>
      <w:r>
        <w:t xml:space="preserve">снизить риск мошеннических операций: переводы с высокой оценкой риска приостанавливаются, сумма резервируется до решения специалиста;</w:t>
      </w:r>
    </w:p>
    <w:p>
      <w:pPr>
        <w:pStyle w:val="a7"/>
        <w:numPr>
          <w:ilvl w:val="0"/>
          <w:numId w:val="1"/>
        </w:numPr>
        <w:tabs>
          <w:tab w:val="left" w:pos="993"/>
        </w:tabs>
        <w:ind w:left="0" w:firstLine="709"/>
        <w:contextualSpacing/>
        <w:jc w:val="both"/>
      </w:pPr>
      <w:r>
        <w:t xml:space="preserve">защитить данные клиентов: пароли хранятся в виде хэш-значений, паспортные данные шифруются, действия пользователей записываются в журнал;</w:t>
      </w:r>
    </w:p>
    <w:p>
      <w:pPr>
        <w:pStyle w:val="a7"/>
        <w:numPr>
          <w:ilvl w:val="0"/>
          <w:numId w:val="1"/>
        </w:numPr>
        <w:tabs>
          <w:tab w:val="left" w:pos="993"/>
        </w:tabs>
        <w:ind w:left="0" w:firstLine="709"/>
        <w:contextualSpacing/>
        <w:jc w:val="both"/>
      </w:pPr>
      <w:r>
        <w:t xml:space="preserve">сделать решения банка понятными клиенту: до подписания договора клиент видит расчёт долговой нагрузки, результат скоринга и график платежей, при отказе указывается причина.</w:t>
      </w:r>
    </w:p>
    <w:p>
      <w:pPr>
        <w:ind w:firstLine="709"/>
        <w:contextualSpacing/>
        <w:jc w:val="both"/>
      </w:pPr>
      <w:r>
        <w:t xml:space="preserve">Разрабатываемое программное средство – веб-приложение «ТалерБанк» (название условное) для дистанционного банковского обслуживания физических лиц. Гость видит курсы валют, пользуется калькуляторами вкладов и кредитов и подаёт заявку на подключение. После проверки анкеты клиенту доступны счета в белорусских рублях и иностранной валюте с номерами в формате IBAN, переводы между своими счетами, клиентам банка и в другие банки, оплата услуг по каталогу поставщиков, шаблоны и автоплатежи, вклады, кредиты с расчётом графика, долговой нагрузки и скоринга, банковские карты, выписки и справки в формате PDF. Сотрудники банка работают в том же приложении в рабочих местах, состав которых определяется ролью. Все денежные операции выполняются через единый механизм проводок двойной записи в одной транзакции базы данных. В отличие от аналогов, переводы проводятся в момент подтверждения, выписка формируется за произвольный период, а клиенту объясняется решение по кредитной заявке.</w:t>
      </w:r>
    </w:p>
    <w:p>
      <w:pPr>
        <w:ind w:firstLine="709"/>
        <w:contextualSpacing/>
        <w:jc w:val="both"/>
      </w:pPr>
      <w:r>
        <w:t xml:space="preserve">Бизнес-правила – это ограничения, факты и расчётные формулы, установленные законодательством, нормативными документами банка и условиями договоров, которые определяют допустимое поведение системы. Правила, которым должно соответствовать программное средство, приведены в таблице 1.5.</w:t>
      </w:r>
    </w:p>
    <w:p>
      <w:pPr>
        <w:keepNext/>
        <w:ind w:left="1701" w:hanging="1701"/>
        <w:contextualSpacing/>
        <w:jc w:val="both"/>
      </w:pPr>
      <w:r>
        <w:t xml:space="preserve">Таблица 1.5 – Бизнес-правила</w:t>
      </w:r>
    </w:p>
    <w:tbl>
      <w:tblPr>
        <w:tblStyle w:val="af5"/>
        <w:tblLook w:firstColumn="1" w:firstRow="1" w:lastColumn="0" w:lastRow="0" w:noHBand="0" w:noVBand="1" w:val="04A0"/>
        <w:tblW w:w="9350" w:type="dxa"/>
        <w:tblLayout w:type="fixed"/>
      </w:tblPr>
      <w:tblGrid>
        <w:gridCol w:w="4700"/>
        <w:gridCol w:w="2150"/>
        <w:gridCol w:w="2500"/>
      </w:tblGrid>
      <w:tr>
        <w:trPr>
          <w:cantSplit/>
          <w:tblHeader/>
        </w:trPr>
        <w:tc>
          <w:tcPr>
            <w:tcW w:type="dxa" w:w="4700"/>
          </w:tcPr>
          <w:p>
            <w:pPr>
              <w:keepNext/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Определение правила</w:t>
            </w:r>
          </w:p>
        </w:tc>
        <w:tc>
          <w:tcPr>
            <w:tcW w:type="dxa" w:w="2150"/>
          </w:tcPr>
          <w:p>
            <w:pPr>
              <w:keepNext/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Тип правила</w:t>
            </w:r>
          </w:p>
        </w:tc>
        <w:tc>
          <w:tcPr>
            <w:tcW w:type="dxa" w:w="2500"/>
          </w:tcPr>
          <w:p>
            <w:pPr>
              <w:keepNext/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Источник</w:t>
            </w:r>
          </w:p>
        </w:tc>
      </w:tr>
      <w:tr>
        <w:trPr>
          <w:cantSplit/>
        </w:trPr>
        <w:tc>
          <w:tcPr>
            <w:tcW w:type="dxa" w:w="4700"/>
          </w:tcPr>
          <w:p>
            <w:pPr>
              <w:keepNext/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 xml:space="preserve">Номер счёта записывается в формате IBAN Республики Беларусь (28 символов), контрольные цифры вычисляются как остаток от деления на 97</w:t>
            </w:r>
          </w:p>
        </w:tc>
        <w:tc>
          <w:tcPr>
            <w:tcW w:type="dxa" w:w="2150"/>
          </w:tcPr>
          <w:p>
            <w:pPr>
              <w:keepNext/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Ограничение, статическое</w:t>
            </w:r>
          </w:p>
        </w:tc>
        <w:tc>
          <w:tcPr>
            <w:tcW w:type="dxa" w:w="2500"/>
          </w:tcPr>
          <w:p>
            <w:pPr>
              <w:keepNext/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Стандарт ISO 13616</w:t>
            </w:r>
          </w:p>
        </w:tc>
      </w:tr>
      <w:tr>
        <w:trPr>
          <w:cantSplit/>
        </w:trPr>
        <w:tc>
          <w:tcPr>
            <w:tcW w:type="dxa" w:w="47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 xml:space="preserve">Каждая операция с деньгами отражается проводкой по дебету одного и кредиту другого счёта; проводки не изменяются и не удаляются, ошибка исправляется сторнированием</w:t>
            </w:r>
          </w:p>
        </w:tc>
        <w:tc>
          <w:tcPr>
            <w:tcW w:type="dxa" w:w="215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Факт, статическое</w:t>
            </w:r>
          </w:p>
        </w:tc>
        <w:tc>
          <w:tcPr>
            <w:tcW w:type="dxa" w:w="25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Принцип двойной записи</w:t>
            </w:r>
          </w:p>
        </w:tc>
      </w:tr>
      <w:tr>
        <w:trPr>
          <w:cantSplit/>
        </w:trPr>
        <w:tc>
          <w:tcPr>
            <w:tcW w:type="dxa" w:w="47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 xml:space="preserve">Клиент получает доступ к операциям после проверки анкеты сотрудником банка; возраст клиента не менее 18 лет</w:t>
            </w:r>
          </w:p>
        </w:tc>
        <w:tc>
          <w:tcPr>
            <w:tcW w:type="dxa" w:w="215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Ограничение, статическое</w:t>
            </w:r>
          </w:p>
        </w:tc>
        <w:tc>
          <w:tcPr>
            <w:tcW w:type="dxa" w:w="25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 xml:space="preserve">Закон «О мерах по предотвращению легализации доходов…»</w:t>
            </w:r>
          </w:p>
        </w:tc>
      </w:tr>
      <w:tr>
        <w:trPr>
          <w:cantSplit/>
        </w:trPr>
        <w:tc>
          <w:tcPr>
            <w:tcW w:type="dxa" w:w="47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 xml:space="preserve">Идентификационный номер и паспортные данные хранятся только в зашифрованном виде</w:t>
            </w:r>
          </w:p>
        </w:tc>
        <w:tc>
          <w:tcPr>
            <w:tcW w:type="dxa" w:w="215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Ограничение, статическое</w:t>
            </w:r>
          </w:p>
        </w:tc>
        <w:tc>
          <w:tcPr>
            <w:tcW w:type="dxa" w:w="25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 xml:space="preserve">Закон «О защите персональных данных»</w:t>
            </w:r>
          </w:p>
        </w:tc>
      </w:tr>
      <w:tr>
        <w:trPr>
          <w:cantSplit/>
        </w:trPr>
        <w:tc>
          <w:tcPr>
            <w:tcW w:type="dxa" w:w="47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 xml:space="preserve">После пяти неудачных попыток входа учётная запись блокируется на 15 минут; вход сотрудников выполняется с двухфакторной аутентификацией</w:t>
            </w:r>
          </w:p>
        </w:tc>
        <w:tc>
          <w:tcPr>
            <w:tcW w:type="dxa" w:w="215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Ограничение, динамическое</w:t>
            </w:r>
          </w:p>
        </w:tc>
        <w:tc>
          <w:tcPr>
            <w:tcW w:type="dxa" w:w="25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Политика безопасности банка</w:t>
            </w:r>
          </w:p>
        </w:tc>
      </w:tr>
    </w:tbl>
    <w:p>
      <w:pPr>
        <w:keepNext/>
        <w:ind w:left="0"/>
        <w:contextualSpacing/>
        <w:jc w:val="left"/>
      </w:pPr>
      <w:r>
        <w:t xml:space="preserve">Продолжение таблицы 1.5</w:t>
      </w:r>
    </w:p>
    <w:tbl>
      <w:tblPr>
        <w:tblStyle w:val="af5"/>
        <w:tblLook w:firstColumn="1" w:firstRow="1" w:lastColumn="0" w:lastRow="0" w:noHBand="0" w:noVBand="1" w:val="04A0"/>
        <w:tblW w:w="9350" w:type="dxa"/>
        <w:tblLayout w:type="fixed"/>
      </w:tblPr>
      <w:tblGrid>
        <w:gridCol w:w="4700"/>
        <w:gridCol w:w="2150"/>
        <w:gridCol w:w="2500"/>
      </w:tblGrid>
      <w:tr>
        <w:trPr>
          <w:cantSplit/>
          <w:tblHeader/>
        </w:trPr>
        <w:tc>
          <w:tcPr>
            <w:tcW w:type="dxa" w:w="4700"/>
          </w:tcPr>
          <w:p>
            <w:pPr>
              <w:keepNext/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Определение правила</w:t>
            </w:r>
          </w:p>
        </w:tc>
        <w:tc>
          <w:tcPr>
            <w:tcW w:type="dxa" w:w="2150"/>
          </w:tcPr>
          <w:p>
            <w:pPr>
              <w:keepNext/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Тип правила</w:t>
            </w:r>
          </w:p>
        </w:tc>
        <w:tc>
          <w:tcPr>
            <w:tcW w:type="dxa" w:w="2500"/>
          </w:tcPr>
          <w:p>
            <w:pPr>
              <w:keepNext/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Источник</w:t>
            </w:r>
          </w:p>
        </w:tc>
      </w:tr>
      <w:tr>
        <w:trPr>
          <w:cantSplit/>
        </w:trPr>
        <w:tc>
          <w:tcPr>
            <w:tcW w:type="dxa" w:w="4700"/>
          </w:tcPr>
          <w:p>
            <w:pPr>
              <w:keepNext/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 xml:space="preserve">Суточный лимит переводов клиентам банка – 5 000 BYN; перевод от 100 BYN, перевод в другой банк и подписание кредитного договора подтверждаются одноразовым кодом</w:t>
            </w:r>
          </w:p>
        </w:tc>
        <w:tc>
          <w:tcPr>
            <w:tcW w:type="dxa" w:w="2150"/>
          </w:tcPr>
          <w:p>
            <w:pPr>
              <w:keepNext/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Ограничение, динамическое</w:t>
            </w:r>
          </w:p>
        </w:tc>
        <w:tc>
          <w:tcPr>
            <w:tcW w:type="dxa" w:w="2500"/>
          </w:tcPr>
          <w:p>
            <w:pPr>
              <w:keepNext/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 xml:space="preserve">Тарифы и политика безопасности банка</w:t>
            </w:r>
          </w:p>
        </w:tc>
      </w:tr>
      <w:tr>
        <w:trPr>
          <w:cantSplit/>
        </w:trPr>
        <w:tc>
          <w:tcPr>
            <w:tcW w:type="dxa" w:w="47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 xml:space="preserve">Долговая нагрузка заёмщика не должна превышать 40 %, заявка с большей нагрузкой отклоняется</w:t>
            </w:r>
          </w:p>
        </w:tc>
        <w:tc>
          <w:tcPr>
            <w:tcW w:type="dxa" w:w="215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Ограничение, динамическое</w:t>
            </w:r>
          </w:p>
        </w:tc>
        <w:tc>
          <w:tcPr>
            <w:tcW w:type="dxa" w:w="25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 xml:space="preserve">Инструкция о порядке предоставления денежных средств в форме кредита и их возврата (погашения)</w:t>
            </w:r>
          </w:p>
        </w:tc>
      </w:tr>
      <w:tr>
        <w:trPr>
          <w:cantSplit/>
        </w:trPr>
        <w:tc>
          <w:tcPr>
            <w:tcW w:type="dxa" w:w="47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 xml:space="preserve">Заявка одобряется автоматически при вероятности дефолта не выше 8 % и сумме не выше 5 000 BYN; при вероятности не выше 30 % направляется кредитному специалисту; иначе отклоняется</w:t>
            </w:r>
          </w:p>
        </w:tc>
        <w:tc>
          <w:tcPr>
            <w:tcW w:type="dxa" w:w="215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Ограничение, динамическое</w:t>
            </w:r>
          </w:p>
        </w:tc>
        <w:tc>
          <w:tcPr>
            <w:tcW w:type="dxa" w:w="25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Кредитная политика банка</w:t>
            </w:r>
          </w:p>
        </w:tc>
      </w:tr>
      <w:tr>
        <w:trPr>
          <w:cantSplit/>
        </w:trPr>
        <w:tc>
          <w:tcPr>
            <w:tcW w:type="dxa" w:w="47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 xml:space="preserve">За каждый день просрочки начисляется пеня 0,1 % от суммы просроченного платежа</w:t>
            </w:r>
          </w:p>
        </w:tc>
        <w:tc>
          <w:tcPr>
            <w:tcW w:type="dxa" w:w="215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Факт, динамическое</w:t>
            </w:r>
          </w:p>
        </w:tc>
        <w:tc>
          <w:tcPr>
            <w:tcW w:type="dxa" w:w="25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Кредитный договор, тарифы банка</w:t>
            </w:r>
          </w:p>
        </w:tc>
      </w:tr>
      <w:tr>
        <w:trPr>
          <w:cantSplit/>
        </w:trPr>
        <w:tc>
          <w:tcPr>
            <w:tcW w:type="dxa" w:w="47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 xml:space="preserve">Отзывный вклад можно закрыть досрочно с пересчётом процентов по ставке до востребования, безотзывный вклад досрочно закрыть нельзя</w:t>
            </w:r>
          </w:p>
        </w:tc>
        <w:tc>
          <w:tcPr>
            <w:tcW w:type="dxa" w:w="215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Ограничение, статическое</w:t>
            </w:r>
          </w:p>
        </w:tc>
        <w:tc>
          <w:tcPr>
            <w:tcW w:type="dxa" w:w="25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Условия банковского продукта</w:t>
            </w:r>
          </w:p>
        </w:tc>
      </w:tr>
      <w:tr>
        <w:trPr>
          <w:cantSplit/>
        </w:trPr>
        <w:tc>
          <w:tcPr>
            <w:tcW w:type="dxa" w:w="47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 xml:space="preserve">Перевод с оценкой риска от 30 баллов подтверждается кодом, от 60 баллов задерживается до решения специалиста; операции от 20 000 BYN относятся к операциям особого контроля</w:t>
            </w:r>
          </w:p>
        </w:tc>
        <w:tc>
          <w:tcPr>
            <w:tcW w:type="dxa" w:w="215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Ограничение, динамическое</w:t>
            </w:r>
          </w:p>
        </w:tc>
        <w:tc>
          <w:tcPr>
            <w:tcW w:type="dxa" w:w="25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 xml:space="preserve">Закон «О мерах по предотвращению легализации доходов…»</w:t>
            </w:r>
          </w:p>
        </w:tc>
      </w:tr>
      <w:tr>
        <w:trPr>
          <w:cantSplit/>
        </w:trPr>
        <w:tc>
          <w:tcPr>
            <w:tcW w:type="dxa" w:w="47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 xml:space="preserve">Резервные копии базы данных создаются автоматически не реже одного раза в сутки, шифруются, хранятся последние 14 копий</w:t>
            </w:r>
          </w:p>
        </w:tc>
        <w:tc>
          <w:tcPr>
            <w:tcW w:type="dxa" w:w="215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Ограничение, динамическое</w:t>
            </w:r>
          </w:p>
        </w:tc>
        <w:tc>
          <w:tcPr>
            <w:tcW w:type="dxa" w:w="25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Политика безопасности банка</w:t>
            </w:r>
          </w:p>
        </w:tc>
      </w:tr>
    </w:tbl>
    <w:p>
      <w:pPr>
        <w:ind w:firstLine="709"/>
        <w:contextualSpacing/>
        <w:jc w:val="both"/>
      </w:pPr>
    </w:p>
    <w:p>
      <w:pPr>
        <w:ind w:firstLine="709"/>
        <w:contextualSpacing/>
        <w:jc w:val="both"/>
      </w:pPr>
      <w:r>
        <w:t xml:space="preserve">Динамические правила хранятся в настройках системы, администратор изменяет их без изменения программы.</w:t>
      </w:r>
    </w:p>
    <w:p>
      <w:pPr>
        <w:ind w:firstLine="709"/>
        <w:contextualSpacing/>
        <w:jc w:val="both"/>
      </w:pPr>
      <w:r>
        <w:t xml:space="preserve">Заинтересованными лицами являются все, на кого влияет разработка или эксплуатация программного средства. Их профили приведены в таблице 1.6.</w:t>
      </w:r>
    </w:p>
    <w:p>
      <w:pPr>
        <w:keepNext/>
        <w:ind w:left="1701" w:hanging="1701"/>
        <w:contextualSpacing/>
        <w:jc w:val="both"/>
      </w:pPr>
      <w:r>
        <w:t xml:space="preserve">Таблица 1.6 – Профили заинтересованных лиц</w:t>
      </w:r>
    </w:p>
    <w:tbl>
      <w:tblPr>
        <w:tblStyle w:val="af5"/>
        <w:tblLook w:firstColumn="1" w:firstRow="1" w:lastColumn="0" w:lastRow="0" w:noHBand="0" w:noVBand="1" w:val="04A0"/>
        <w:tblW w:w="9350" w:type="dxa"/>
        <w:tblLayout w:type="fixed"/>
      </w:tblPr>
      <w:tblGrid>
        <w:gridCol w:w="1900"/>
        <w:gridCol w:w="2300"/>
        <w:gridCol w:w="2900"/>
        <w:gridCol w:w="2250"/>
      </w:tblGrid>
      <w:tr>
        <w:trPr>
          <w:cantSplit/>
          <w:tblHeader/>
        </w:trPr>
        <w:tc>
          <w:tcPr>
            <w:tcW w:type="dxa" w:w="1900"/>
          </w:tcPr>
          <w:p>
            <w:pPr>
              <w:keepNext/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Заинтересованное лицо</w:t>
            </w:r>
          </w:p>
        </w:tc>
        <w:tc>
          <w:tcPr>
            <w:tcW w:type="dxa" w:w="2300"/>
          </w:tcPr>
          <w:p>
            <w:pPr>
              <w:keepNext/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Основная ценность</w:t>
            </w:r>
          </w:p>
        </w:tc>
        <w:tc>
          <w:tcPr>
            <w:tcW w:type="dxa" w:w="2900"/>
          </w:tcPr>
          <w:p>
            <w:pPr>
              <w:keepNext/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Основные интересы</w:t>
            </w:r>
          </w:p>
        </w:tc>
        <w:tc>
          <w:tcPr>
            <w:tcW w:type="dxa" w:w="2250"/>
          </w:tcPr>
          <w:p>
            <w:pPr>
              <w:keepNext/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Ограничения</w:t>
            </w:r>
          </w:p>
        </w:tc>
      </w:tr>
      <w:tr>
        <w:trPr>
          <w:cantSplit/>
        </w:trPr>
        <w:tc>
          <w:tcPr>
            <w:tcW w:type="dxa" w:w="1900"/>
          </w:tcPr>
          <w:p>
            <w:pPr>
              <w:keepNext/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Клиент банка</w:t>
            </w:r>
          </w:p>
        </w:tc>
        <w:tc>
          <w:tcPr>
            <w:tcW w:type="dxa" w:w="2300"/>
          </w:tcPr>
          <w:p>
            <w:pPr>
              <w:keepNext/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 xml:space="preserve">Удобный и безопасный доступ к банковским услугам без визита в отделение</w:t>
            </w:r>
          </w:p>
        </w:tc>
        <w:tc>
          <w:tcPr>
            <w:tcW w:type="dxa" w:w="2900"/>
          </w:tcPr>
          <w:p>
            <w:pPr>
              <w:keepNext/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 xml:space="preserve">Скорость и простота операций, сохранность денег и данных, понятные причины решений банка</w:t>
            </w:r>
          </w:p>
        </w:tc>
        <w:tc>
          <w:tcPr>
            <w:tcW w:type="dxa" w:w="2250"/>
          </w:tcPr>
          <w:p>
            <w:pPr>
              <w:keepNext/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Операции доступны после проверки анкеты, действуют лимиты, крупные операции подтверждаются кодом</w:t>
            </w:r>
          </w:p>
        </w:tc>
      </w:tr>
      <w:tr>
        <w:trPr>
          <w:cantSplit/>
        </w:trPr>
        <w:tc>
          <w:tcPr>
            <w:tcW w:type="dxa" w:w="19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Сотрудники банка</w:t>
            </w:r>
          </w:p>
        </w:tc>
        <w:tc>
          <w:tcPr>
            <w:tcW w:type="dxa" w:w="23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 xml:space="preserve">Сокращение ручной работы при проверке анкет, кредитовании и контроле операций</w:t>
            </w:r>
          </w:p>
        </w:tc>
        <w:tc>
          <w:tcPr>
            <w:tcW w:type="dxa" w:w="29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 xml:space="preserve">Рабочее место под свою роль: анкеты и касса, заявки на кредит, задержанные переводы</w:t>
            </w:r>
          </w:p>
        </w:tc>
        <w:tc>
          <w:tcPr>
            <w:tcW w:type="dxa" w:w="225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 xml:space="preserve">Доступ только к функциям своей роли, просмотр персональных данных записывается в журнал</w:t>
            </w:r>
          </w:p>
        </w:tc>
      </w:tr>
      <w:tr>
        <w:trPr>
          <w:cantSplit/>
        </w:trPr>
        <w:tc>
          <w:tcPr>
            <w:tcW w:type="dxa" w:w="19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Руководство банка</w:t>
            </w:r>
          </w:p>
        </w:tc>
        <w:tc>
          <w:tcPr>
            <w:tcW w:type="dxa" w:w="23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 xml:space="preserve">Снижение затрат и рисков, рост числа клиентов</w:t>
            </w:r>
          </w:p>
        </w:tc>
        <w:tc>
          <w:tcPr>
            <w:tcW w:type="dxa" w:w="29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 xml:space="preserve">Отчёты по оборотам, кредитному портфелю, вкладам, доходам и расходам; достоверность учёта</w:t>
            </w:r>
          </w:p>
        </w:tc>
        <w:tc>
          <w:tcPr>
            <w:tcW w:type="dxa" w:w="225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Деятельность банка должна соответствовать законодательству</w:t>
            </w:r>
          </w:p>
        </w:tc>
      </w:tr>
      <w:tr>
        <w:trPr>
          <w:cantSplit/>
        </w:trPr>
        <w:tc>
          <w:tcPr>
            <w:tcW w:type="dxa" w:w="19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Администратор системы</w:t>
            </w:r>
          </w:p>
        </w:tc>
        <w:tc>
          <w:tcPr>
            <w:tcW w:type="dxa" w:w="23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 xml:space="preserve">Бесперебойная и безопасная работа программного средства</w:t>
            </w:r>
          </w:p>
        </w:tc>
        <w:tc>
          <w:tcPr>
            <w:tcW w:type="dxa" w:w="29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 xml:space="preserve">Курсы, тарифы и пользователи, журнал аудита, резервные копии, закрытие операционного дня</w:t>
            </w:r>
          </w:p>
        </w:tc>
        <w:tc>
          <w:tcPr>
            <w:tcW w:type="dxa" w:w="225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 xml:space="preserve">Вход с двухфакторной защитой, журнал неизменяем</w:t>
            </w:r>
          </w:p>
        </w:tc>
      </w:tr>
      <w:tr>
        <w:trPr>
          <w:cantSplit/>
        </w:trPr>
        <w:tc>
          <w:tcPr>
            <w:tcW w:type="dxa" w:w="19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Национальный банк (регулятор)</w:t>
            </w:r>
          </w:p>
        </w:tc>
        <w:tc>
          <w:tcPr>
            <w:tcW w:type="dxa" w:w="23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Соблюдение банковского законодательства</w:t>
            </w:r>
          </w:p>
        </w:tc>
        <w:tc>
          <w:tcPr>
            <w:tcW w:type="dxa" w:w="29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Идентификация клиентов, ограничение долговой нагрузки, контроль операций, защита данных</w:t>
            </w:r>
          </w:p>
        </w:tc>
        <w:tc>
          <w:tcPr>
            <w:tcW w:type="dxa" w:w="225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 xml:space="preserve">Требования законов и инструкций Республики Беларусь</w:t>
            </w:r>
          </w:p>
        </w:tc>
      </w:tr>
    </w:tbl>
    <w:p>
      <w:pPr>
        <w:ind w:firstLine="709"/>
        <w:contextualSpacing/>
        <w:jc w:val="both"/>
      </w:pPr>
    </w:p>
    <w:p>
      <w:pPr>
        <w:ind w:firstLine="709"/>
        <w:contextualSpacing/>
        <w:jc w:val="both"/>
      </w:pPr>
      <w:r>
        <w:t xml:space="preserve">Информация из профилей показывает, какие требования предъявляют к системе разные участники, и используется при определении ролей и прав доступа.</w:t>
      </w:r>
    </w:p>
    <w:sectPr w:rsidR="00E773D7" w:rsidRPr="00947DEB" w:rsidSect="00067E56">
      <w:footerReference w:type="default" r:id="rId90"/>
      <w:pgSz w:w="11906" w:h="16838"/>
      <w:pgMar w:top="1134" w:right="851" w:bottom="1134" w:left="1701" w:header="567" w:footer="567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FD6B0B" w14:textId="77777777" w:rsidR="0057227D" w:rsidRDefault="0057227D" w:rsidP="00CD33C1">
      <w:r>
        <w:separator/>
      </w:r>
    </w:p>
  </w:endnote>
  <w:endnote w:type="continuationSeparator" w:id="0">
    <w:p w14:paraId="09E1FBDB" w14:textId="77777777" w:rsidR="0057227D" w:rsidRDefault="0057227D" w:rsidP="00CD33C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Inter">
    <w:panose1 w:val="02000503000000020004"/>
    <w:charset w:val="CC"/>
    <w:family w:val="auto"/>
    <w:pitch w:val="variable"/>
    <w:sig w:usb0="E00002FF" w:usb1="1200A1FF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43941113"/>
      <w:docPartObj>
        <w:docPartGallery w:val="Page Numbers (Bottom of Page)"/>
        <w:docPartUnique/>
      </w:docPartObj>
    </w:sdtPr>
    <w:sdtContent>
      <w:p w14:paraId="2C19B916" w14:textId="490F947D" w:rsidR="00CD33C1" w:rsidRDefault="00CD33C1">
        <w:pPr>
          <w:pStyle w:val="ae"/>
          <w:jc w:val="right"/>
        </w:pPr>
        <w:r w:rsidRPr="00803E73">
          <w:fldChar w:fldCharType="begin"/>
        </w:r>
        <w:r w:rsidRPr="00803E73">
          <w:instrText>PAGE   \* MERGEFORMAT</w:instrText>
        </w:r>
        <w:r w:rsidRPr="00803E73">
          <w:fldChar w:fldCharType="separate"/>
        </w:r>
        <w:r w:rsidRPr="00803E73">
          <w:t>2</w:t>
        </w:r>
        <w:r w:rsidRPr="00803E73"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07CE4B" w14:textId="77777777" w:rsidR="0057227D" w:rsidRDefault="0057227D" w:rsidP="00CD33C1">
      <w:r>
        <w:separator/>
      </w:r>
    </w:p>
  </w:footnote>
  <w:footnote w:type="continuationSeparator" w:id="0">
    <w:p w14:paraId="758E4C63" w14:textId="77777777" w:rsidR="0057227D" w:rsidRDefault="0057227D" w:rsidP="00CD33C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B131A"/>
    <w:multiLevelType w:val="hybridMultilevel"/>
    <w:tmpl w:val="F7DC570A"/>
    <w:lvl w:ilvl="0" w:tplc="9E0EEE62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4502D7"/>
    <w:multiLevelType w:val="multilevel"/>
    <w:tmpl w:val="4838D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8472AA"/>
    <w:multiLevelType w:val="multilevel"/>
    <w:tmpl w:val="5AF84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BB48A2"/>
    <w:multiLevelType w:val="hybridMultilevel"/>
    <w:tmpl w:val="68329BB6"/>
    <w:lvl w:ilvl="0" w:tplc="30C8CA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CC3A80"/>
    <w:multiLevelType w:val="multilevel"/>
    <w:tmpl w:val="FD10F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0C5E0F"/>
    <w:multiLevelType w:val="hybridMultilevel"/>
    <w:tmpl w:val="3BD00564"/>
    <w:lvl w:ilvl="0" w:tplc="30C8CA7A">
      <w:start w:val="1"/>
      <w:numFmt w:val="bullet"/>
      <w:lvlText w:val=""/>
      <w:lvlJc w:val="left"/>
      <w:pPr>
        <w:ind w:left="107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B23495D"/>
    <w:multiLevelType w:val="multilevel"/>
    <w:tmpl w:val="55040EA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70404B"/>
    <w:multiLevelType w:val="multilevel"/>
    <w:tmpl w:val="9FAAE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7E1AE1"/>
    <w:multiLevelType w:val="multilevel"/>
    <w:tmpl w:val="A6326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3702D1A"/>
    <w:multiLevelType w:val="multilevel"/>
    <w:tmpl w:val="07209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9D63AB9"/>
    <w:multiLevelType w:val="hybridMultilevel"/>
    <w:tmpl w:val="1838808A"/>
    <w:lvl w:ilvl="0" w:tplc="30C8CA7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ED67877"/>
    <w:multiLevelType w:val="multilevel"/>
    <w:tmpl w:val="DD34C0C8"/>
    <w:lvl w:ilvl="0">
      <w:start w:val="1"/>
      <w:numFmt w:val="decimal"/>
      <w:lvlText w:val="[%1]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24415E3"/>
    <w:multiLevelType w:val="multilevel"/>
    <w:tmpl w:val="D1AEBB50"/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A3B18D8"/>
    <w:multiLevelType w:val="multilevel"/>
    <w:tmpl w:val="75AA6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CB24189"/>
    <w:multiLevelType w:val="multilevel"/>
    <w:tmpl w:val="E1C84A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F3B76F0"/>
    <w:multiLevelType w:val="multilevel"/>
    <w:tmpl w:val="0A00084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01363E1"/>
    <w:multiLevelType w:val="multilevel"/>
    <w:tmpl w:val="16D089C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0483F9F"/>
    <w:multiLevelType w:val="multilevel"/>
    <w:tmpl w:val="E5CC6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8093874"/>
    <w:multiLevelType w:val="multilevel"/>
    <w:tmpl w:val="048AA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80942BF"/>
    <w:multiLevelType w:val="multilevel"/>
    <w:tmpl w:val="B14A0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BCF7664"/>
    <w:multiLevelType w:val="multilevel"/>
    <w:tmpl w:val="71068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E500DC0"/>
    <w:multiLevelType w:val="multilevel"/>
    <w:tmpl w:val="4392B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F606541"/>
    <w:multiLevelType w:val="multilevel"/>
    <w:tmpl w:val="8B7A3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47A230B"/>
    <w:multiLevelType w:val="multilevel"/>
    <w:tmpl w:val="152A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A204755"/>
    <w:multiLevelType w:val="multilevel"/>
    <w:tmpl w:val="B7F4B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3C71DD1"/>
    <w:multiLevelType w:val="multilevel"/>
    <w:tmpl w:val="063EC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48F0D90"/>
    <w:multiLevelType w:val="multilevel"/>
    <w:tmpl w:val="1868C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9D26A68"/>
    <w:multiLevelType w:val="multilevel"/>
    <w:tmpl w:val="B11C1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E574134"/>
    <w:multiLevelType w:val="hybridMultilevel"/>
    <w:tmpl w:val="4FBAF52C"/>
    <w:lvl w:ilvl="0" w:tplc="30C8CA7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716C1A7C"/>
    <w:multiLevelType w:val="multilevel"/>
    <w:tmpl w:val="61FC8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A40317A"/>
    <w:multiLevelType w:val="multilevel"/>
    <w:tmpl w:val="9894D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EF6678C"/>
    <w:multiLevelType w:val="multilevel"/>
    <w:tmpl w:val="A4D02F1E"/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77094514">
    <w:abstractNumId w:val="5"/>
  </w:num>
  <w:num w:numId="2" w16cid:durableId="1485585448">
    <w:abstractNumId w:val="3"/>
  </w:num>
  <w:num w:numId="3" w16cid:durableId="1017587002">
    <w:abstractNumId w:val="28"/>
  </w:num>
  <w:num w:numId="4" w16cid:durableId="221839657">
    <w:abstractNumId w:val="10"/>
  </w:num>
  <w:num w:numId="5" w16cid:durableId="645088867">
    <w:abstractNumId w:val="15"/>
  </w:num>
  <w:num w:numId="6" w16cid:durableId="772167379">
    <w:abstractNumId w:val="6"/>
  </w:num>
  <w:num w:numId="7" w16cid:durableId="1568029225">
    <w:abstractNumId w:val="12"/>
  </w:num>
  <w:num w:numId="8" w16cid:durableId="592519925">
    <w:abstractNumId w:val="31"/>
  </w:num>
  <w:num w:numId="9" w16cid:durableId="1391733273">
    <w:abstractNumId w:val="27"/>
  </w:num>
  <w:num w:numId="10" w16cid:durableId="1853564124">
    <w:abstractNumId w:val="14"/>
  </w:num>
  <w:num w:numId="11" w16cid:durableId="956565616">
    <w:abstractNumId w:val="16"/>
  </w:num>
  <w:num w:numId="12" w16cid:durableId="1130634127">
    <w:abstractNumId w:val="0"/>
  </w:num>
  <w:num w:numId="13" w16cid:durableId="206573949">
    <w:abstractNumId w:val="9"/>
  </w:num>
  <w:num w:numId="14" w16cid:durableId="1588417803">
    <w:abstractNumId w:val="7"/>
  </w:num>
  <w:num w:numId="15" w16cid:durableId="886528059">
    <w:abstractNumId w:val="17"/>
  </w:num>
  <w:num w:numId="16" w16cid:durableId="2145534947">
    <w:abstractNumId w:val="25"/>
  </w:num>
  <w:num w:numId="17" w16cid:durableId="584806585">
    <w:abstractNumId w:val="23"/>
  </w:num>
  <w:num w:numId="18" w16cid:durableId="2012489756">
    <w:abstractNumId w:val="20"/>
  </w:num>
  <w:num w:numId="19" w16cid:durableId="1340346924">
    <w:abstractNumId w:val="18"/>
  </w:num>
  <w:num w:numId="20" w16cid:durableId="1056197892">
    <w:abstractNumId w:val="19"/>
  </w:num>
  <w:num w:numId="21" w16cid:durableId="1942184232">
    <w:abstractNumId w:val="24"/>
  </w:num>
  <w:num w:numId="22" w16cid:durableId="1973562194">
    <w:abstractNumId w:val="21"/>
  </w:num>
  <w:num w:numId="23" w16cid:durableId="649288378">
    <w:abstractNumId w:val="29"/>
  </w:num>
  <w:num w:numId="24" w16cid:durableId="79527187">
    <w:abstractNumId w:val="8"/>
  </w:num>
  <w:num w:numId="25" w16cid:durableId="627931325">
    <w:abstractNumId w:val="30"/>
  </w:num>
  <w:num w:numId="26" w16cid:durableId="1521967452">
    <w:abstractNumId w:val="4"/>
  </w:num>
  <w:num w:numId="27" w16cid:durableId="1150557209">
    <w:abstractNumId w:val="1"/>
  </w:num>
  <w:num w:numId="28" w16cid:durableId="249584486">
    <w:abstractNumId w:val="2"/>
  </w:num>
  <w:num w:numId="29" w16cid:durableId="867719241">
    <w:abstractNumId w:val="22"/>
  </w:num>
  <w:num w:numId="30" w16cid:durableId="1991473513">
    <w:abstractNumId w:val="26"/>
  </w:num>
  <w:num w:numId="31" w16cid:durableId="1327246599">
    <w:abstractNumId w:val="13"/>
  </w:num>
  <w:num w:numId="32" w16cid:durableId="856234306">
    <w:abstractNumId w:val="11"/>
  </w:num>
  <w:num w:numId="901">
    <w:abstractNumId w:val="12"/>
    <w:lvlOverride w:ilvl="0">
      <w:startOverride w:val="1"/>
    </w:lvlOverride>
  </w:num>
  <w:num w:numId="902">
    <w:abstractNumId w:val="11"/>
    <w:lvlOverride w:ilvl="0">
      <w:startOverride w:val="1"/>
    </w:lvlOverride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characterSpacingControl w:val="doNotCompress"/>
  <w:updateFields w:val="true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0F09"/>
    <w:rsid w:val="00014F16"/>
    <w:rsid w:val="0001648B"/>
    <w:rsid w:val="000164E7"/>
    <w:rsid w:val="00025531"/>
    <w:rsid w:val="00037191"/>
    <w:rsid w:val="00044D57"/>
    <w:rsid w:val="00044F95"/>
    <w:rsid w:val="00057D1F"/>
    <w:rsid w:val="00067E56"/>
    <w:rsid w:val="000A2621"/>
    <w:rsid w:val="000A5F68"/>
    <w:rsid w:val="000B292D"/>
    <w:rsid w:val="000B4A98"/>
    <w:rsid w:val="000D05DB"/>
    <w:rsid w:val="000F2C09"/>
    <w:rsid w:val="00103C23"/>
    <w:rsid w:val="00103E76"/>
    <w:rsid w:val="001072CC"/>
    <w:rsid w:val="00141847"/>
    <w:rsid w:val="00141A5C"/>
    <w:rsid w:val="00141A66"/>
    <w:rsid w:val="00144AE7"/>
    <w:rsid w:val="0014722D"/>
    <w:rsid w:val="00150440"/>
    <w:rsid w:val="00153027"/>
    <w:rsid w:val="00157C70"/>
    <w:rsid w:val="0016268F"/>
    <w:rsid w:val="00172E14"/>
    <w:rsid w:val="001819BF"/>
    <w:rsid w:val="00190705"/>
    <w:rsid w:val="001B4B98"/>
    <w:rsid w:val="001D012D"/>
    <w:rsid w:val="001F1CCC"/>
    <w:rsid w:val="002072A5"/>
    <w:rsid w:val="00217E7E"/>
    <w:rsid w:val="002273E4"/>
    <w:rsid w:val="002671AB"/>
    <w:rsid w:val="002962C6"/>
    <w:rsid w:val="002A084B"/>
    <w:rsid w:val="002A2D50"/>
    <w:rsid w:val="002C3918"/>
    <w:rsid w:val="002C56A8"/>
    <w:rsid w:val="002C7DE7"/>
    <w:rsid w:val="002E0564"/>
    <w:rsid w:val="0030635B"/>
    <w:rsid w:val="00311E6F"/>
    <w:rsid w:val="00330EE1"/>
    <w:rsid w:val="00337100"/>
    <w:rsid w:val="003435A4"/>
    <w:rsid w:val="003627F7"/>
    <w:rsid w:val="00397E78"/>
    <w:rsid w:val="003A109A"/>
    <w:rsid w:val="003A3A9D"/>
    <w:rsid w:val="003A4670"/>
    <w:rsid w:val="00404F0F"/>
    <w:rsid w:val="00436032"/>
    <w:rsid w:val="00457473"/>
    <w:rsid w:val="00457FA8"/>
    <w:rsid w:val="004755CC"/>
    <w:rsid w:val="00475B25"/>
    <w:rsid w:val="004817CC"/>
    <w:rsid w:val="00492C9E"/>
    <w:rsid w:val="00494F88"/>
    <w:rsid w:val="004971D2"/>
    <w:rsid w:val="004A236C"/>
    <w:rsid w:val="004A2C59"/>
    <w:rsid w:val="004A5C10"/>
    <w:rsid w:val="004C0A2C"/>
    <w:rsid w:val="004C30E1"/>
    <w:rsid w:val="004C6D81"/>
    <w:rsid w:val="004F2C20"/>
    <w:rsid w:val="004F34AD"/>
    <w:rsid w:val="005020C0"/>
    <w:rsid w:val="00502F51"/>
    <w:rsid w:val="0051140A"/>
    <w:rsid w:val="00515EB1"/>
    <w:rsid w:val="005234F1"/>
    <w:rsid w:val="0053229D"/>
    <w:rsid w:val="00535076"/>
    <w:rsid w:val="00541C0E"/>
    <w:rsid w:val="00550AAC"/>
    <w:rsid w:val="00555667"/>
    <w:rsid w:val="005645D4"/>
    <w:rsid w:val="00564B45"/>
    <w:rsid w:val="0057227D"/>
    <w:rsid w:val="005A1870"/>
    <w:rsid w:val="005A1992"/>
    <w:rsid w:val="005B5202"/>
    <w:rsid w:val="005D0C41"/>
    <w:rsid w:val="005D69F2"/>
    <w:rsid w:val="005F1E0D"/>
    <w:rsid w:val="0061616B"/>
    <w:rsid w:val="00656797"/>
    <w:rsid w:val="006760ED"/>
    <w:rsid w:val="0068486F"/>
    <w:rsid w:val="0068735B"/>
    <w:rsid w:val="006917B6"/>
    <w:rsid w:val="0069690E"/>
    <w:rsid w:val="006F3A81"/>
    <w:rsid w:val="00715CE2"/>
    <w:rsid w:val="00716A01"/>
    <w:rsid w:val="00720A86"/>
    <w:rsid w:val="00725278"/>
    <w:rsid w:val="00726ECF"/>
    <w:rsid w:val="0073187D"/>
    <w:rsid w:val="007403F0"/>
    <w:rsid w:val="00764E7B"/>
    <w:rsid w:val="00767359"/>
    <w:rsid w:val="00772358"/>
    <w:rsid w:val="007758BF"/>
    <w:rsid w:val="007A063C"/>
    <w:rsid w:val="007A15FA"/>
    <w:rsid w:val="007A6E3D"/>
    <w:rsid w:val="007B2890"/>
    <w:rsid w:val="007C32E9"/>
    <w:rsid w:val="007F3ADD"/>
    <w:rsid w:val="008002EF"/>
    <w:rsid w:val="00803E73"/>
    <w:rsid w:val="00805817"/>
    <w:rsid w:val="00805942"/>
    <w:rsid w:val="008107EE"/>
    <w:rsid w:val="0081454B"/>
    <w:rsid w:val="00816B7E"/>
    <w:rsid w:val="00820FC7"/>
    <w:rsid w:val="00822FE1"/>
    <w:rsid w:val="00852659"/>
    <w:rsid w:val="00852EC1"/>
    <w:rsid w:val="00862ADE"/>
    <w:rsid w:val="0086733E"/>
    <w:rsid w:val="00870C9F"/>
    <w:rsid w:val="00893B3A"/>
    <w:rsid w:val="008955BB"/>
    <w:rsid w:val="008A2951"/>
    <w:rsid w:val="008C5661"/>
    <w:rsid w:val="008C7C62"/>
    <w:rsid w:val="008E1215"/>
    <w:rsid w:val="00907116"/>
    <w:rsid w:val="00920845"/>
    <w:rsid w:val="00934F22"/>
    <w:rsid w:val="00947DEB"/>
    <w:rsid w:val="00950610"/>
    <w:rsid w:val="00982FE3"/>
    <w:rsid w:val="009904F0"/>
    <w:rsid w:val="00994AA8"/>
    <w:rsid w:val="00996B50"/>
    <w:rsid w:val="009A7E02"/>
    <w:rsid w:val="009B1DCF"/>
    <w:rsid w:val="009C22C7"/>
    <w:rsid w:val="009C79FD"/>
    <w:rsid w:val="009F123D"/>
    <w:rsid w:val="009F1545"/>
    <w:rsid w:val="009F66C4"/>
    <w:rsid w:val="00A023BB"/>
    <w:rsid w:val="00A02894"/>
    <w:rsid w:val="00A03E9C"/>
    <w:rsid w:val="00A06298"/>
    <w:rsid w:val="00A16E74"/>
    <w:rsid w:val="00A22798"/>
    <w:rsid w:val="00A24FCA"/>
    <w:rsid w:val="00A25437"/>
    <w:rsid w:val="00A256F9"/>
    <w:rsid w:val="00A31768"/>
    <w:rsid w:val="00A41189"/>
    <w:rsid w:val="00A52C87"/>
    <w:rsid w:val="00A56695"/>
    <w:rsid w:val="00A56F89"/>
    <w:rsid w:val="00AA5CFF"/>
    <w:rsid w:val="00AB2ECE"/>
    <w:rsid w:val="00AC018C"/>
    <w:rsid w:val="00AD07BE"/>
    <w:rsid w:val="00AE0F09"/>
    <w:rsid w:val="00AF6485"/>
    <w:rsid w:val="00B01D18"/>
    <w:rsid w:val="00B1751C"/>
    <w:rsid w:val="00B43EA4"/>
    <w:rsid w:val="00B44C9C"/>
    <w:rsid w:val="00B56980"/>
    <w:rsid w:val="00B641F4"/>
    <w:rsid w:val="00B727A6"/>
    <w:rsid w:val="00B863B2"/>
    <w:rsid w:val="00B978A7"/>
    <w:rsid w:val="00BB04B6"/>
    <w:rsid w:val="00BC3925"/>
    <w:rsid w:val="00BC7B44"/>
    <w:rsid w:val="00C00554"/>
    <w:rsid w:val="00C14A37"/>
    <w:rsid w:val="00C14E5F"/>
    <w:rsid w:val="00C30471"/>
    <w:rsid w:val="00C4591F"/>
    <w:rsid w:val="00C63FB5"/>
    <w:rsid w:val="00C64504"/>
    <w:rsid w:val="00C84357"/>
    <w:rsid w:val="00C916B8"/>
    <w:rsid w:val="00CA5FBC"/>
    <w:rsid w:val="00CB20D6"/>
    <w:rsid w:val="00CD33C1"/>
    <w:rsid w:val="00CE14CB"/>
    <w:rsid w:val="00CE14D1"/>
    <w:rsid w:val="00CE1DCB"/>
    <w:rsid w:val="00CE3843"/>
    <w:rsid w:val="00CF6427"/>
    <w:rsid w:val="00D16C9E"/>
    <w:rsid w:val="00D20031"/>
    <w:rsid w:val="00D26D8E"/>
    <w:rsid w:val="00D45757"/>
    <w:rsid w:val="00D47EA6"/>
    <w:rsid w:val="00D50797"/>
    <w:rsid w:val="00D62C20"/>
    <w:rsid w:val="00D65A19"/>
    <w:rsid w:val="00D7499A"/>
    <w:rsid w:val="00D84A40"/>
    <w:rsid w:val="00D87F57"/>
    <w:rsid w:val="00D906DB"/>
    <w:rsid w:val="00D97932"/>
    <w:rsid w:val="00DA0825"/>
    <w:rsid w:val="00DA0BD0"/>
    <w:rsid w:val="00DC3948"/>
    <w:rsid w:val="00DC64AA"/>
    <w:rsid w:val="00DF6149"/>
    <w:rsid w:val="00DF62D0"/>
    <w:rsid w:val="00E01AD0"/>
    <w:rsid w:val="00E10A8D"/>
    <w:rsid w:val="00E15F25"/>
    <w:rsid w:val="00E1753E"/>
    <w:rsid w:val="00E22184"/>
    <w:rsid w:val="00E22953"/>
    <w:rsid w:val="00E22DA5"/>
    <w:rsid w:val="00E23DCF"/>
    <w:rsid w:val="00E25C05"/>
    <w:rsid w:val="00E517A6"/>
    <w:rsid w:val="00E53D47"/>
    <w:rsid w:val="00E61538"/>
    <w:rsid w:val="00E6758A"/>
    <w:rsid w:val="00E7493E"/>
    <w:rsid w:val="00E751AD"/>
    <w:rsid w:val="00E773D7"/>
    <w:rsid w:val="00EA26E2"/>
    <w:rsid w:val="00EA28BD"/>
    <w:rsid w:val="00EB16C0"/>
    <w:rsid w:val="00EC318A"/>
    <w:rsid w:val="00EC7848"/>
    <w:rsid w:val="00EF1266"/>
    <w:rsid w:val="00F07974"/>
    <w:rsid w:val="00F11BC7"/>
    <w:rsid w:val="00F122BB"/>
    <w:rsid w:val="00F324F7"/>
    <w:rsid w:val="00F60258"/>
    <w:rsid w:val="00F74BA8"/>
    <w:rsid w:val="00F75618"/>
    <w:rsid w:val="00F77705"/>
    <w:rsid w:val="00F77CAC"/>
    <w:rsid w:val="00F838FD"/>
    <w:rsid w:val="00FB2496"/>
    <w:rsid w:val="00FD0B9F"/>
    <w:rsid w:val="00FE313D"/>
    <w:rsid w:val="00FE42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2015DEC"/>
  <w15:chartTrackingRefBased/>
  <w15:docId w15:val="{B2C4FA1D-1236-48AA-BE30-7C622E53CE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15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2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6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5"/>
    <w:qFormat/>
    <w:rsid w:val="006760ED"/>
    <w:pPr>
      <w:spacing w:after="0" w:line="240" w:lineRule="auto"/>
    </w:pPr>
    <w:rPr>
      <w:rFonts w:ascii="Times New Roman" w:hAnsi="Times New Roman"/>
      <w:kern w:val="0"/>
      <w:sz w:val="28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E773D7"/>
    <w:pPr>
      <w:keepNext/>
      <w:keepLines/>
      <w:ind w:left="993" w:hanging="284"/>
      <w:outlineLvl w:val="0"/>
    </w:pPr>
    <w:rPr>
      <w:rFonts w:eastAsiaTheme="majorEastAsia" w:cstheme="majorBidi"/>
      <w:b/>
      <w:bCs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044D57"/>
    <w:pPr>
      <w:keepNext/>
      <w:keepLines/>
      <w:ind w:left="1129" w:hanging="420"/>
      <w:contextualSpacing/>
      <w:outlineLvl w:val="1"/>
    </w:pPr>
    <w:rPr>
      <w:rFonts w:eastAsiaTheme="majorEastAsia" w:cs="Times New Roman"/>
      <w:b/>
      <w:bCs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E0F0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E0F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E0F0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E0F0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E0F0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E0F0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E0F0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773D7"/>
    <w:rPr>
      <w:rFonts w:ascii="Times New Roman" w:eastAsiaTheme="majorEastAsia" w:hAnsi="Times New Roman" w:cstheme="majorBidi"/>
      <w:b/>
      <w:bCs/>
      <w:kern w:val="0"/>
      <w:sz w:val="28"/>
      <w:szCs w:val="28"/>
      <w14:ligatures w14:val="none"/>
    </w:rPr>
  </w:style>
  <w:style w:type="character" w:customStyle="1" w:styleId="20">
    <w:name w:val="Заголовок 2 Знак"/>
    <w:basedOn w:val="a0"/>
    <w:link w:val="2"/>
    <w:uiPriority w:val="9"/>
    <w:rsid w:val="00044D57"/>
    <w:rPr>
      <w:rFonts w:ascii="Times New Roman" w:eastAsiaTheme="majorEastAsia" w:hAnsi="Times New Roman" w:cs="Times New Roman"/>
      <w:b/>
      <w:bCs/>
      <w:kern w:val="0"/>
      <w:sz w:val="28"/>
      <w:szCs w:val="28"/>
      <w14:ligatures w14:val="none"/>
    </w:rPr>
  </w:style>
  <w:style w:type="character" w:customStyle="1" w:styleId="30">
    <w:name w:val="Заголовок 3 Знак"/>
    <w:basedOn w:val="a0"/>
    <w:link w:val="3"/>
    <w:uiPriority w:val="9"/>
    <w:semiHidden/>
    <w:rsid w:val="00AE0F0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E0F09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E0F09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E0F0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E0F0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E0F0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E0F0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2"/>
    <w:qFormat/>
    <w:rsid w:val="00AE0F0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2"/>
    <w:rsid w:val="00AE0F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E0F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E0F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E0F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E0F0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E0F0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E0F09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E0F0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E0F09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AE0F09"/>
    <w:rPr>
      <w:b/>
      <w:bCs/>
      <w:smallCaps/>
      <w:color w:val="2F5496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CD33C1"/>
    <w:pPr>
      <w:tabs>
        <w:tab w:val="center" w:pos="4677"/>
        <w:tab w:val="right" w:pos="9355"/>
      </w:tabs>
    </w:pPr>
  </w:style>
  <w:style w:type="character" w:customStyle="1" w:styleId="ad">
    <w:name w:val="Верхний колонтитул Знак"/>
    <w:basedOn w:val="a0"/>
    <w:link w:val="ac"/>
    <w:uiPriority w:val="99"/>
    <w:rsid w:val="00CD33C1"/>
    <w:rPr>
      <w:rFonts w:ascii="Times New Roman" w:hAnsi="Times New Roman"/>
      <w:kern w:val="0"/>
      <w:sz w:val="28"/>
      <w:szCs w:val="22"/>
      <w14:ligatures w14:val="none"/>
    </w:rPr>
  </w:style>
  <w:style w:type="paragraph" w:styleId="ae">
    <w:name w:val="footer"/>
    <w:basedOn w:val="a"/>
    <w:link w:val="af"/>
    <w:uiPriority w:val="99"/>
    <w:unhideWhenUsed/>
    <w:rsid w:val="00CD33C1"/>
    <w:pPr>
      <w:tabs>
        <w:tab w:val="center" w:pos="4677"/>
        <w:tab w:val="right" w:pos="9355"/>
      </w:tabs>
    </w:pPr>
  </w:style>
  <w:style w:type="character" w:customStyle="1" w:styleId="af">
    <w:name w:val="Нижний колонтитул Знак"/>
    <w:basedOn w:val="a0"/>
    <w:link w:val="ae"/>
    <w:uiPriority w:val="99"/>
    <w:rsid w:val="00CD33C1"/>
    <w:rPr>
      <w:rFonts w:ascii="Times New Roman" w:hAnsi="Times New Roman"/>
      <w:kern w:val="0"/>
      <w:sz w:val="28"/>
      <w:szCs w:val="22"/>
      <w14:ligatures w14:val="none"/>
    </w:rPr>
  </w:style>
  <w:style w:type="paragraph" w:styleId="af0">
    <w:name w:val="Body Text"/>
    <w:basedOn w:val="a"/>
    <w:link w:val="af1"/>
    <w:uiPriority w:val="16"/>
    <w:rsid w:val="008E1215"/>
    <w:pPr>
      <w:ind w:firstLine="709"/>
      <w:jc w:val="both"/>
    </w:pPr>
  </w:style>
  <w:style w:type="character" w:customStyle="1" w:styleId="af1">
    <w:name w:val="Основной текст Знак"/>
    <w:basedOn w:val="a0"/>
    <w:link w:val="af0"/>
    <w:uiPriority w:val="16"/>
    <w:rsid w:val="008E1215"/>
    <w:rPr>
      <w:rFonts w:ascii="Times New Roman" w:hAnsi="Times New Roman"/>
      <w:kern w:val="0"/>
      <w:sz w:val="28"/>
      <w:szCs w:val="22"/>
      <w14:ligatures w14:val="none"/>
    </w:rPr>
  </w:style>
  <w:style w:type="paragraph" w:styleId="af2">
    <w:name w:val="TOC Heading"/>
    <w:basedOn w:val="1"/>
    <w:next w:val="a"/>
    <w:uiPriority w:val="39"/>
    <w:unhideWhenUsed/>
    <w:qFormat/>
    <w:rsid w:val="00E10A8D"/>
    <w:pPr>
      <w:spacing w:before="240" w:line="259" w:lineRule="auto"/>
      <w:outlineLvl w:val="9"/>
    </w:pPr>
    <w:rPr>
      <w:rFonts w:asciiTheme="majorHAnsi" w:hAnsiTheme="majorHAnsi"/>
      <w:b w:val="0"/>
      <w:bCs w:val="0"/>
      <w:color w:val="2F5496" w:themeColor="accent1" w:themeShade="BF"/>
      <w:sz w:val="32"/>
      <w:szCs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6760ED"/>
    <w:pPr>
      <w:tabs>
        <w:tab w:val="left" w:pos="142"/>
        <w:tab w:val="left" w:pos="720"/>
        <w:tab w:val="right" w:leader="dot" w:pos="9344"/>
      </w:tabs>
      <w:ind w:left="278" w:hanging="278"/>
      <w:contextualSpacing/>
    </w:pPr>
    <w:rPr>
      <w:noProof/>
      <w:color w:val="000000" w:themeColor="text1"/>
      <w:szCs w:val="28"/>
    </w:rPr>
  </w:style>
  <w:style w:type="character" w:styleId="af3">
    <w:name w:val="Hyperlink"/>
    <w:basedOn w:val="a0"/>
    <w:uiPriority w:val="99"/>
    <w:unhideWhenUsed/>
    <w:rsid w:val="00E10A8D"/>
    <w:rPr>
      <w:color w:val="0563C1" w:themeColor="hyperlink"/>
      <w:u w:val="single"/>
    </w:rPr>
  </w:style>
  <w:style w:type="paragraph" w:styleId="23">
    <w:name w:val="toc 2"/>
    <w:basedOn w:val="a"/>
    <w:next w:val="a"/>
    <w:autoRedefine/>
    <w:uiPriority w:val="39"/>
    <w:unhideWhenUsed/>
    <w:rsid w:val="00E22DA5"/>
    <w:pPr>
      <w:tabs>
        <w:tab w:val="left" w:pos="709"/>
        <w:tab w:val="right" w:leader="dot" w:pos="9344"/>
      </w:tabs>
      <w:ind w:left="709" w:hanging="429"/>
      <w:contextualSpacing/>
    </w:pPr>
  </w:style>
  <w:style w:type="paragraph" w:styleId="af4">
    <w:name w:val="No Spacing"/>
    <w:uiPriority w:val="1"/>
    <w:qFormat/>
    <w:rsid w:val="00E773D7"/>
    <w:pPr>
      <w:spacing w:after="0" w:line="240" w:lineRule="auto"/>
    </w:pPr>
    <w:rPr>
      <w:rFonts w:ascii="Times New Roman" w:hAnsi="Times New Roman"/>
      <w:kern w:val="0"/>
      <w:sz w:val="28"/>
      <w:szCs w:val="22"/>
      <w14:ligatures w14:val="none"/>
    </w:rPr>
  </w:style>
  <w:style w:type="table" w:styleId="af5">
    <w:name w:val="Table Grid"/>
    <w:basedOn w:val="a1"/>
    <w:uiPriority w:val="39"/>
    <w:rsid w:val="0015302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6">
    <w:name w:val="Unresolved Mention"/>
    <w:basedOn w:val="a0"/>
    <w:uiPriority w:val="99"/>
    <w:semiHidden/>
    <w:unhideWhenUsed/>
    <w:rsid w:val="00803E73"/>
    <w:rPr>
      <w:color w:val="605E5C"/>
      <w:shd w:val="clear" w:color="auto" w:fill="E1DFDD"/>
    </w:rPr>
  </w:style>
  <w:style w:type="character" w:styleId="af7">
    <w:name w:val="annotation reference"/>
    <w:basedOn w:val="a0"/>
    <w:uiPriority w:val="99"/>
    <w:semiHidden/>
    <w:unhideWhenUsed/>
    <w:rsid w:val="002C7DE7"/>
    <w:rPr>
      <w:sz w:val="16"/>
      <w:szCs w:val="16"/>
    </w:rPr>
  </w:style>
  <w:style w:type="paragraph" w:styleId="af8">
    <w:name w:val="annotation text"/>
    <w:basedOn w:val="a"/>
    <w:link w:val="af9"/>
    <w:uiPriority w:val="99"/>
    <w:semiHidden/>
    <w:unhideWhenUsed/>
    <w:rsid w:val="002C7DE7"/>
    <w:rPr>
      <w:sz w:val="20"/>
      <w:szCs w:val="20"/>
    </w:rPr>
  </w:style>
  <w:style w:type="character" w:customStyle="1" w:styleId="af9">
    <w:name w:val="Текст примечания Знак"/>
    <w:basedOn w:val="a0"/>
    <w:link w:val="af8"/>
    <w:uiPriority w:val="99"/>
    <w:semiHidden/>
    <w:rsid w:val="002C7DE7"/>
    <w:rPr>
      <w:rFonts w:ascii="Times New Roman" w:hAnsi="Times New Roman"/>
      <w:kern w:val="0"/>
      <w:sz w:val="20"/>
      <w:szCs w:val="20"/>
      <w14:ligatures w14:val="none"/>
    </w:rPr>
  </w:style>
  <w:style w:type="paragraph" w:styleId="afa">
    <w:name w:val="annotation subject"/>
    <w:basedOn w:val="af8"/>
    <w:next w:val="af8"/>
    <w:link w:val="afb"/>
    <w:uiPriority w:val="99"/>
    <w:semiHidden/>
    <w:unhideWhenUsed/>
    <w:rsid w:val="002C7DE7"/>
    <w:rPr>
      <w:b/>
      <w:bCs/>
    </w:rPr>
  </w:style>
  <w:style w:type="character" w:customStyle="1" w:styleId="afb">
    <w:name w:val="Тема примечания Знак"/>
    <w:basedOn w:val="af9"/>
    <w:link w:val="afa"/>
    <w:uiPriority w:val="99"/>
    <w:semiHidden/>
    <w:rsid w:val="002C7DE7"/>
    <w:rPr>
      <w:rFonts w:ascii="Times New Roman" w:hAnsi="Times New Roman"/>
      <w:b/>
      <w:bCs/>
      <w:kern w:val="0"/>
      <w:sz w:val="20"/>
      <w:szCs w:val="20"/>
      <w14:ligatures w14:val="none"/>
    </w:rPr>
  </w:style>
  <w:style w:type="paragraph" w:customStyle="1" w:styleId="afc">
    <w:name w:val="К формуле одна строка"/>
    <w:basedOn w:val="a"/>
    <w:uiPriority w:val="9"/>
    <w:qFormat/>
    <w:rsid w:val="00E6758A"/>
    <w:pPr>
      <w:tabs>
        <w:tab w:val="left" w:pos="709"/>
      </w:tabs>
      <w:spacing w:after="320"/>
      <w:jc w:val="both"/>
    </w:pPr>
  </w:style>
  <w:style w:type="paragraph" w:customStyle="1" w:styleId="msonormal0">
    <w:name w:val="msonormal"/>
    <w:basedOn w:val="a"/>
    <w:rsid w:val="004A2C59"/>
    <w:pPr>
      <w:spacing w:before="100" w:beforeAutospacing="1" w:after="100" w:afterAutospacing="1"/>
    </w:pPr>
    <w:rPr>
      <w:rFonts w:eastAsia="Times New Roman" w:cs="Times New Roman"/>
      <w:sz w:val="24"/>
      <w:szCs w:val="24"/>
      <w:lang w:eastAsia="ru-RU"/>
    </w:rPr>
  </w:style>
  <w:style w:type="paragraph" w:styleId="HTML">
    <w:name w:val="HTML Preformatted"/>
    <w:basedOn w:val="a"/>
    <w:link w:val="HTML0"/>
    <w:uiPriority w:val="99"/>
    <w:semiHidden/>
    <w:unhideWhenUsed/>
    <w:rsid w:val="004A2C5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4A2C59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token">
    <w:name w:val="token"/>
    <w:basedOn w:val="a0"/>
    <w:rsid w:val="004A2C5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5" Type="http://schemas.openxmlformats.org/officeDocument/2006/relationships/webSettings" Target="webSettings.xml"/><Relationship Id="rId90" Type="http://schemas.openxmlformats.org/officeDocument/2006/relationships/footer" Target="footer1.xml"/><Relationship Id="rId3" Type="http://schemas.openxmlformats.org/officeDocument/2006/relationships/styles" Target="styles.xml"/><Relationship Id="rId9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4" Type="http://schemas.openxmlformats.org/officeDocument/2006/relationships/settings" Target="settings.xml"/><Relationship Id="rId7" Type="http://schemas.openxmlformats.org/officeDocument/2006/relationships/endnotes" Target="endnotes.xml"/><Relationship Id="rId92" Type="http://schemas.openxmlformats.org/officeDocument/2006/relationships/theme" Target="theme/theme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48D6AD-67D6-4E39-A180-F1B61EE960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377</TotalTime>
  <Pages>119</Pages>
  <Words>29464</Words>
  <Characters>167946</Characters>
  <Application>Microsoft Office Word</Application>
  <DocSecurity>0</DocSecurity>
  <Lines>1399</Lines>
  <Paragraphs>394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197016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Владислав Мешков</dc:creator>
  <cp:keywords/>
  <dc:description/>
  <cp:lastModifiedBy>Владислав Мешков</cp:lastModifiedBy>
  <cp:revision>39</cp:revision>
  <cp:lastPrinted>2026-05-24T19:25:00Z</cp:lastPrinted>
  <dcterms:created xsi:type="dcterms:W3CDTF">2026-05-19T10:23:00Z</dcterms:created>
  <dcterms:modified xsi:type="dcterms:W3CDTF">2026-05-24T19:44:00Z</dcterms:modified>
</cp:coreProperties>
</file>