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1.4 Разработка информационной модели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Информационная модель определяет, какие данные хранит программное средство, как они устроены и как связаны между собой. От её качества зависят целостность денежных расчётов, возможность проверить любую операцию по записям и защита персональных данных клиентов. Модель построена в виде ER-диаграммы (диаграммы «сущность – связь») и приведена на рисунке 1.10.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ER-диаграмма (от англ. Entity-Relationship, «сущность – связь») – графическая модель данных, в которой предметная область описывается совокупностью сущностей, их атрибутов и связей между ними. Сущность соответствует таблице базы данных, атрибут – её столбцу, связь – ссылке одной таблицы на другую. На диаграмме показаны основные сущности предметной области и основные связи между ними. Справочники, сессии, коды подтверждения, настройки, журнал действий и другие вспомогательные таблицы на рисунке опущены для читаемости, их полный состав приведён в SQL-скрипте создания базы данных (приложение).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74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7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 xml:space="preserve">Рисунок 1.10 – ER-диаграмма информационной модели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Четырнадцать основных сущностей образуют четыре группы. Группа доступа включает сущности «Роль», «Пользователь» и «Клиент» и определяет, кто работает с системой и что ему разрешено. Ядро учёта образуют «Счёт», «Документ» и «Проводка»: они реализуют принцип двойной записи, по которому любая операция отражается одновременно по дебету одного счёта и кредиту другого. Группа операций состоит из сущностей «Заявка на перевод», «Платёж» и «Карта». Группа продуктов описывает вклады и кредиты: «Продукт вклада», «Вклад», «Кредитный продукт», «Кредитная заявка» и «Кредит». Назначение и основные атрибуты сущностей приведены в таблице 1.8.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Таблица 1.8 – Описание сущностей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(roles)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Категория пользователя системы с набором прав: клиент, операционист, кредитный специалист, специалист по мониторингу, администратор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Код роли, наименование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 (users)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Учётная запись для входа в систему; принадлежит одной роли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Логин, хэш пароля, роль, статус, число неудачных входов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(clients)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Физическое лицо, подключённое к дистанционному банковскому обслуживанию; связано с учётной записью пользователя. Паспортные данные и идентификационный номер хранятся в зашифрованном виде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Фамилия, имя, отчество, дата рождения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(accounts)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Банковский счёт клиента (текущий, накопительный, вкладной, ссудный) либо внутренний счёт банка (касса, корреспондентский счёт, счета доходов и расходов), у которого владельца нет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Номер IBAN, владелец, балансовый счёт, вид, наименование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 (documents)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Банковская операция как единое целое; объединяет все проводки одной операции. Уникальный ключ идемпотентности не позволяет выполнить одну операцию дважды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Тип, статус, ключ идемпотентности, банковская дата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(postings)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Запись двойной записи: сумма, списываемая с одного счёта (дебет) и зачисляемая на другой (кредит). Остаток счёта определяется проводками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Документ, счёт дебета, счёт кредита, сумма, банковская дата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Продолжение таблицы 1.8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на перевод (transfer_intents)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Намерение клиента выполнить перевод; существует до подтверждения кодом и проверок антифрода, после проведения связывается с документом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Вид (между своими счетами или клиенту), счёт списания, сумма, сумма в BYN, комиссия, документ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 (payments)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Оплата услуги по каталогу поставщиков, выполненная со счёта клиента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Поставщик, счёт списания, сумма, комиссия, реквизит, документ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 (cards)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Банковская платёжная карта, привязанная к счёту. Номер хранится в зашифрованном виде, для поиска используется хэш номера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Счёт, платёжная система, зашифрованный номер, хэш номера, последние четыре цифры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 (deposit_products)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Условия вклада, предлагаемые банком: срок, ставка, валюта, возможность капитализации и досрочного расторжения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валюта, срок, ставка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(deposits)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Договор вклада конкретного клиента; ставки фиксируются на дату открытия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Клиент, продукт, счёт вклада, валюта, сумма, ставка, ставка «до востребования»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 (loan_products)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Условия кредита, предлагаемые банком: ставка, границы суммы и срока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Наименование, ставка, минимальная и максимальная сумма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 (loan_applications)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клиента на кредит с результатом оценки кредитоспособности (скоринговый балл, вероятность дефолта, долговая нагрузка) и решением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сумма, срок, вид графика, ставка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(loans)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Кредитный договор, возникший по одобренной и подписанной заявке; обслуживается по графику платежей</w:t>
            </w:r>
          </w:p>
        </w:tc>
        <w:tc>
          <w:tcPr>
            <w:tcW w:type="dxa" w:w="266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Заявка, ссудный счёт, сумма, ставка, срок, вид графика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Связи между сущностями приведены в таблице 1.9. Все они реализованы внешними ключами, поэтому база данных не допускает ссылок на несуществующие записи: нельзя создать проводку по отсутствующему счёту или вклад без клиента.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Таблица 1.9 – Описание связей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97"/>
        <w:gridCol w:w="2097"/>
        <w:gridCol w:w="1644"/>
        <w:gridCol w:w="3515"/>
      </w:tblGrid>
      <w:tr>
        <w:trPr>
          <w:cantSplit/>
          <w:tblHeader/>
        </w:trPr>
        <w:tc>
          <w:tcPr>
            <w:tcW w:type="dxa" w:w="209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09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64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51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type="dxa" w:w="209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164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пользователь имеет одну роль, ролью обладают многие пользователи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1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Клиент имеет одну учётную запись; у сотрудников банка записи клиента нет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Клиент владеет несколькими счетами; у внутренних счетов банка владельца нет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иметь несколько вкладов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подавать несколько заявок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Проводка (по дебету)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По счёту выполняется много списаний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Проводка (по кредиту)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По счёту выполняется много зачислений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Операция состоит из нескольких проводок, сумма дебета которых равна сумме кредита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на перевод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Со счёта списания можно создать много заявок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на перевод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Проведённая заявка связывается с документом операции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Со счёта выполняется много платежей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платёж отражается документом операции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 счёту можно выпустить несколько карт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По одному продукту открывается много вкладов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Вклад учитывается на отдельном счёте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По одному продукту подаётся много заявок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Продолжение таблицы 1.9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97"/>
        <w:gridCol w:w="2097"/>
        <w:gridCol w:w="1644"/>
        <w:gridCol w:w="3515"/>
      </w:tblGrid>
      <w:tr>
        <w:trPr>
          <w:cantSplit/>
          <w:tblHeader/>
        </w:trPr>
        <w:tc>
          <w:tcPr>
            <w:tcW w:type="dxa" w:w="209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09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64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51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209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64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1</w:t>
            </w:r>
          </w:p>
        </w:tc>
        <w:tc>
          <w:tcPr>
            <w:tcW w:type="dxa" w:w="3515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Кредит выдаётся по одной одобренной и подписанной заявке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64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1 : M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Кредит учитывается на ссудном счёте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При проектировании модели приняты следующие решения. Денежные суммы хранятся целыми числами в минимальных единицах валюты (копейках), что исключает ошибки округления, свойственные числам с плавающей точкой. Остаток счёта не вводится независимо, а определяется проводками: он равен разности оборотов по кредиту и дебету, и значение остатка в таблице счетов изменяется только вместе с проводкой в одной транзакции. Проводки и записи журнала действий после создания не изменяются и не удаляются: запрет задан триггерами базы данных, поэтому ошибочную операцию исправляют обратной проводкой (сторно), а история остаётся полной.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Целостность данных обеспечивается на нескольких уровнях. Внешние ключи гарантируют ссылочную целостность, ограничения CHECK задают допустимые значения (например, вид счёта и статус операции), а уникальные индексы исключают дубликаты номера IBAN и ключа идемпотентности. Для внутренних счетов банка ограничение требует, чтобы владелец отсутствовал, а для счетов клиентов – чтобы он был указан. На счетах клиентов, кроме ссудных, остаток не может стать отрицательным.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Структура модели приведена к третьей нормальной форме: каждая сущность описывает один объект предметной области, неключевые атрибуты зависят от ключа своей сущности, а связи между объектами выражены внешними ключами, а не повторением данных. Из этого правила сделаны осознанные исключения (денормализация), каждое из которых имеет причину. Во-первых, ставки по вкладам и кредитам копируются из продукта в договор: банк может изменить ставку продукта, но условия заключённого договора должны остаться прежними. Во-вторых, остаток счёта, остаток основного долга по кредиту и начисленные проценты по вкладу хранятся как значения, производные от проводок и графика платежей; пересчёт при каждом обращении замедлил бы работу и потребовал бы блокировки большого числа записей, а согласованность обеспечивается тем, что такие значения изменяются только вместе с проводкой в одной транзакции. В-третьих, результаты расчётов по заявке (платёж по графику, долговая нагрузка, скоринговый балл) сохраняются как зафиксированный итог решения, чтобы его можно было проверить и воспроизвести, даже если правила оценки изменятся. В-четвёртых, рядом с зашифрованными значениями (номер карты, идентификационный номер) хранятся хэши и последние цифры, что позволяет искать записи без расшифровки.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Персональные данные защищены на уровне хранения: паспортные данные и идентификационный номер клиента, а также номер карты хранятся в зашифрованном виде алгоритмом AES-256-GCM, пароли – в виде хэш-значений. Для поиска по номеру карты и идентификационному номеру используются отдельные хэши, поэтому расшифровывать данные для поиска не требуется.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 xml:space="preserve">Структура программного средства описывается диаграммами классов, которые показывают классы, их атрибуты и операции и связи между ними. Основные классы предметной области показаны на рисунке 1.11.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0733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073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 xml:space="preserve">Рисунок 1.11 – Диаграмма классов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 xml:space="preserve">На диаграмме использованы ассоциация, агрегация (клиент объединяет счета, вклады и заявки, но они существуют как самостоятельные записи) и композиция (документ состоит из проводок и не существует без них). Каждая связь подписана действием, рядом с концами указаны кратности. Атрибуты классов соответствуют столбцам таблиц базы данных, а операции – функциям сервисов программного средства. Клиент владеет счетами, открывает вклады и подаёт заявки на кредит. Каждая денежная операция (перевод, оплата услуги) оформляется документом, который состоит из проводок двойной записи: проводка списывает сумму с одного счёта и зачисляет на другой. Остаток счёта вычисляется по проводкам, а денежные суммы хранятся целым числом копеек. Назначение классов приведено в таблице 1.10.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 xml:space="preserve">Таблица 1.10 – Классы модели предметной области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232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43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Client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Клиент банка с анкетными данными</w:t>
            </w:r>
          </w:p>
        </w:tc>
        <w:tc>
          <w:tcPr>
            <w:tcW w:type="dxa" w:w="2438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lastName, firstName, birthDate, kycStatus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verifyClient(), rejectClient()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Account</w:t>
            </w:r>
          </w:p>
        </w:tc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Счёт клиента в одной валюте с номером IBAN</w:t>
            </w:r>
          </w:p>
        </w:tc>
        <w:tc>
          <w:tcPr>
            <w:tcW w:type="dxa" w:w="243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iban, currency, balance, status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openForUser(), closeForUser()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Card</w:t>
            </w:r>
          </w:p>
        </w:tc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Банковская платёжная карта с лимитами</w:t>
            </w:r>
          </w:p>
        </w:tc>
        <w:tc>
          <w:tcPr>
            <w:tcW w:type="dxa" w:w="243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last4, dailyLimit, status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setBlocked(), updateLimits(), purchase()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</w:t>
            </w:r>
          </w:p>
        </w:tc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Вклад клиента, открытый по условиям продукта</w:t>
            </w:r>
          </w:p>
        </w:tc>
        <w:tc>
          <w:tcPr>
            <w:tcW w:type="dxa" w:w="243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maturityDate, status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quoteEarlyClose(), closeEarly()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LoanApplication</w:t>
            </w:r>
          </w:p>
        </w:tc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на кредит с результатом скоринга</w:t>
            </w:r>
          </w:p>
        </w:tc>
        <w:tc>
          <w:tcPr>
            <w:tcW w:type="dxa" w:w="243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termMonths, pdPercent, status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apply(), decide(), sign()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Loan</w:t>
            </w:r>
          </w:p>
        </w:tc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Выданный кредит с остатком основного долга</w:t>
            </w:r>
          </w:p>
        </w:tc>
        <w:tc>
          <w:tcPr>
            <w:tcW w:type="dxa" w:w="243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principalBalance, status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repayPartial(), repayFull()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Payment</w:t>
            </w:r>
          </w:p>
        </w:tc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Оплата услуги по каталогу получателей</w:t>
            </w:r>
          </w:p>
        </w:tc>
        <w:tc>
          <w:tcPr>
            <w:tcW w:type="dxa" w:w="243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requisite, amount, fee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pay(), getReceipt()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TransferIntent</w:t>
            </w:r>
          </w:p>
        </w:tc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Заявка на перевод со статусом и комиссией</w:t>
            </w:r>
          </w:p>
        </w:tc>
        <w:tc>
          <w:tcPr>
            <w:tcW w:type="dxa" w:w="243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kind, amount, fee, status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confirmTransfer(), cancelTransfer()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Document</w:t>
            </w:r>
          </w:p>
        </w:tc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документ, объединяющий проводки одной операции</w:t>
            </w:r>
          </w:p>
        </w:tc>
        <w:tc>
          <w:tcPr>
            <w:tcW w:type="dxa" w:w="243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type, status, idempotencyKey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post(), reverse()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Posting</w:t>
            </w:r>
          </w:p>
        </w:tc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 xml:space="preserve">Проводка двойной записи: дебет одного счёта и кредит другого</w:t>
            </w:r>
          </w:p>
        </w:tc>
        <w:tc>
          <w:tcPr>
            <w:tcW w:type="dxa" w:w="243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id, debitAccount, creditAccount, amount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</w:tbl>
    <w:p>
      <w:pPr>
        <w:spacing w:line="36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 xml:space="preserve">Диаграмма классов описывает данные и их поведение, но не показывает, где выполняется бизнес-логика. В программном средстве она вынесена в слой сервисов: контроллеры принимают запрос и вызывают сервис, сервис выполняет операцию в одной транзакции и обращается к моделям с SQL-запросами. Ключевые сервисы показаны на рисунке 1.12.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651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65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 xml:space="preserve">Рисунок 1.12 – Диаграмма классов слоя бизнес-логики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 xml:space="preserve">Пунктирная стрелка означает, что один сервис использует другой, подпись указывает действие: закрытие операционного дня запускает начисление процентов по вкладам, исполнение автоплатежей, обработку кредитов и отправку пакета межбанковских платежей; кредит оценивается сервисом скоринга; переводы проверяются антифрод-сервисом; переводы и подписание кредита подтверждаются одноразовым кодом. Сервисы вкладов, платежей, кредитов, карт и переводов проводят деньги через сервис учёта, работают со счетами через сервис счетов, ведут журнал аудита и отправляют уведомления, поэтому такие связи на рисунке не показаны.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 xml:space="preserve">Информационная модель и диаграммы классов определяют структуру данных программного средства и разделение его бизнес-логики на слои. На их основе разрабатываются архитектура программного средства и алгоритмы выполнения ключевых операций.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