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1.4 Разработка информационной модели предметной области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Информационная модель определяет, какие данные хранит программное средство, как они устроены и как связаны между собой. От её качества зависят целостность денежных расчётов, возможность проверить любую операцию по записям и защита персональных данных клиентов. Модель построена в виде ER-диаграммы (диаграммы «сущность – связь») и приведена на рисунке 1.12.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ER-диаграмма (от англ. Entity-Relationship, «сущность – связь») – графическая модель данных, в которой предметная область описывается совокупностью сущностей, их атрибутов и связей между ними. Сущность соответствует таблице базы данных, атрибут – её столбцу, связь – ссылке одной таблицы на другую. На диаграмме показаны основные сущности предметной области и основные связи между ними. Справочники, сессии, коды подтверждения, настройки, журнал действий и другие вспомогательные таблицы на рисунке опущены для читаемости, их полный состав приведён в SQL-скрипте создания базы данных (приложение).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5474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474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1.12 – ER-диаграмма информационной модели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Четырнадцать основных сущностей образуют четыре группы. Группа доступа включает сущности «Роль», «Пользователь» и «Клиент» и определяет, кто работает с системой и что ему разрешено. Ядро учёта образуют «Счёт», «Документ» и «Проводка»: они реализуют принцип двойной записи, по которому любая операция отражается одновременно по дебету одного счёта и кредиту другого. Группа операций состоит из сущностей «Заявка на перевод», «Платёж» и «Карта». Группа продуктов описывает вклады и кредиты: «Продукт вклада», «Вклад», «Кредитный продукт», «Кредитная заявка» и «Кредит». Назначение и основные атрибуты сущностей приведены в таблице 1.21.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1.21 – Описание сущностей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(roles)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Категория пользователя системы с набором прав: клиент, операционист, кредитный специалист, специалист по мониторингу, администратор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код роли, наименование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 (users)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систему; принадлежит одной роли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логин, хэш пароля, роль, статус, число неудачных входов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(clients)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Физическое лицо, подключённое к дистанционному банковскому обслуживанию; связано с учётной записью пользователя. Паспортные данные и идентификационный номер хранятся в зашифрованном виде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фамилия, имя, отчество, дата рождения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(accounts)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счёт клиента (текущий, накопительный, вкладной, ссудный) либо внутренний счёт банка (касса, корреспондентский счёт, счета доходов и расходов), у которого владельца нет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номер IBAN, владелец, балансовый счёт, вид, наименование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 (documents)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операция как единое целое; объединяет все проводки одной операции. Уникальный ключ идемпотентности не позволяет выполнить одну операцию дважды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тип, статус, ключ идемпотентности, банковская дата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(postings)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Запись двойной записи: сумма, списываемая с одного счёта (дебет) и зачисляемая на другой (кредит). Остаток счёта определяется проводками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документ, счёт дебета, счёт кредита, сумма, банковская дата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Продолжение таблицы 1.21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Сущность</w:t>
            </w:r>
          </w:p>
        </w:tc>
        <w:tc>
          <w:tcPr>
            <w:tcW w:type="dxa" w:w="453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665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(transfer_intents)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Намерение клиента выполнить перевод; существует до подтверждения кодом и проверок антифрода, после проведения связывается с документом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вид (между своими счетами или клиенту), счёт списания, сумма, сумма в BYN, комиссия, документ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 (payments)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поставщиков, выполненная со счёта клиента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поставщик, счёт списания, сумма, комиссия, реквизит, документ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 (cards)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карта, привязанная к счёту. Номер хранится в зашифрованном виде, для поиска используется хэш номера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счёт, платёжная система, зашифрованный номер, хэш номера, последние четыре цифры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 (deposit_products)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вклада, предлагаемые банком: срок, ставка, валюта, возможность капитализации и досрочного расторжения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валюта, срок, ставка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(deposits)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Договор вклада конкретного клиента; ставки фиксируются на дату открытия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счёт вклада, валюта, сумма, ставка, ставка «до востребования»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 (loan_products)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кредита, предлагаемые банком: ставка, границы суммы и срока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наименование, ставка, минимальная и максимальная сумма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 (loan_applications)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клиента на кредит с результатом оценки кредитоспособности (скоринговый балл, вероятность дефолта, долговая нагрузка) и решением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клиент, продукт, сумма, срок, вид графика, ставка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(loans)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договор, возникший по одобренной и подписанной заявке; обслуживается по графику платежей</w:t>
            </w:r>
          </w:p>
        </w:tc>
        <w:tc>
          <w:tcPr>
            <w:tcW w:type="dxa" w:w="266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заявка, ссудный счёт, сумма, ставка, срок, вид графика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Связи между сущностями приведены в таблице 1.22. Все они реализованы внешними ключами, поэтому база данных не допускает ссылок на несуществующие записи: нельзя создать проводку по отсутствующему счёту или вклад без клиента.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1.22 – Описание связей информационной модели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пользователь имеет одну роль, ролью обладают многие пользователи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Пользователь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имеет одну учётную запись; у сотрудников банка записи клиента нет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владеет несколькими счетами; у внутренних счетов банка владельца нет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иметь несколько вкладов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может подавать несколько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дебету)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списаний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(по кредиту)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счёту выполняется много зачислений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операция состоит из нескольких проводок, сумма дебета которых равна сумме кредита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списания можно создать много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проведённая заявка связывается с документом операции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 счёта выполняется много платежей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 xml:space="preserve">Продолжение таблицы 1.22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2154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Родительская сущность</w:t>
            </w:r>
          </w:p>
        </w:tc>
        <w:tc>
          <w:tcPr>
            <w:tcW w:type="dxa" w:w="2211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Дочерняя сущность</w:t>
            </w:r>
          </w:p>
        </w:tc>
        <w:tc>
          <w:tcPr>
            <w:tcW w:type="dxa" w:w="1247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Кратность</w:t>
            </w:r>
          </w:p>
        </w:tc>
        <w:tc>
          <w:tcPr>
            <w:tcW w:type="dxa" w:w="3742"/>
          </w:tcPr>
          <w:p>
            <w:pPr>
              <w:keepNext/>
              <w:spacing w:line="240" w:lineRule="auto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Смысл связи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Документ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Платёж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каждый платёж отражается документом операции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Карта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 счёту можно выпустить несколько карт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Продукт вклада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открывается много вкладов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учитывается на отдельном счёте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продукт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 одному продукту подаётся много заявок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Кредитная заявка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1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выдаётся по одной одобренной и подписанной заявке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</w:t>
            </w:r>
          </w:p>
        </w:tc>
        <w:tc>
          <w:tcPr>
            <w:tcW w:type="dxa" w:w="221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</w:t>
            </w:r>
          </w:p>
        </w:tc>
        <w:tc>
          <w:tcPr>
            <w:tcW w:type="dxa" w:w="1247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1 : M</w:t>
            </w:r>
          </w:p>
        </w:tc>
        <w:tc>
          <w:tcPr>
            <w:tcW w:type="dxa" w:w="3742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 учитывается на ссудном счёте</w:t>
            </w:r>
          </w:p>
        </w:tc>
      </w:tr>
    </w:tbl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sz w:val="28"/>
        </w:rPr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При проектировании модели приняты следующие решения. Денежные суммы хранятся целыми числами в минимальных единицах валюты (копейках), что исключает ошибки округления, свойственные числам с плавающей точкой. Остаток счёта не вводится независимо, а определяется проводками: он равен разности оборотов по кредиту и дебету, и значение остатка в таблице счетов изменяется только вместе с проводкой в одной транзакции. Проводки и записи журнала действий после создания не изменяются и не удаляются: запрет задан триггерами базы данных, поэтому ошибочную операцию исправляют обратной проводкой (сторно), а история остаётся полной.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Целостность данных обеспечивается на нескольких уровнях. Внешние ключи гарантируют ссылочную целостность, ограничения CHECK задают допустимые значения (например, вид счёта и статус операции), а уникальные индексы исключают дубликаты номера IBAN и ключа идемпотентности. Для внутренних счетов банка ограничение требует, чтобы владелец отсутствовал, а для счетов клиентов – чтобы он был указан. На счетах клиентов, кроме ссудных, остаток не может стать отрицательным.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Структура модели приведена к третьей нормальной форме: каждая сущность описывает один объект предметной области, неключевые атрибуты зависят от ключа своей сущности, а связи между объектами выражены внешними ключами, а не повторением данных. Из этого правила сделаны осознанные исключения (денормализация), каждое из которых имеет причину. Во-первых, ставки по вкладам и кредитам копируются из продукта в договор: банк может изменить ставку продукта, но условия заключённого договора должны остаться прежними. Во-вторых, остаток счёта, остаток основного долга по кредиту и начисленные проценты по вкладу хранятся как значения, производные от проводок и графика платежей; пересчёт при каждом обращении замедлил бы работу и потребовал бы блокировки большого числа записей, а согласованность обеспечивается тем, что такие значения изменяются только вместе с проводкой в одной транзакции. В-третьих, результаты расчётов по заявке (платёж по графику, долговая нагрузка, скоринговый балл) сохраняются как зафиксированный итог решения, чтобы его можно было проверить и воспроизвести, даже если правила оценки изменятся. В-четвёртых, рядом с зашифрованными значениями (номер карты, идентификационный номер) хранятся хэши и последние цифры, что позволяет искать записи без расшифровки.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Персональные данные защищены на уровне хранения: паспортные данные и идентификационный номер клиента, а также номер карты хранятся в зашифрованном виде алгоритмом AES-256-GCM, пароли – в виде хэш-значений. Для поиска по номеру карты и идентификационному номеру используются отдельные хэши, поэтому расшифровывать данные для поиска не требуется.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Помимо хранимой модели данных, для описания структуры программного средства построены диаграммы классов. Они показывают классы предметной области, их атрибуты и операции, а также связи между классами: ассоциацию, агрегацию (клиент объединяет счета, вклады и заявки, но они существуют как самостоятельные записи), композицию (документ состоит из проводок и не существует без них) и зависимость (кредит использует перечисление видов графика). Каждая связь подписана действием, рядом с концами связей указаны кратности. Атрибуты классов соответствуют столбцам таблиц базы данных, а операции – функциям сервисов программного средства. Из-за числа классов модель разбита на четыре диаграммы; класс, участвующий в нескольких из них, показан на каждой полностью.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Пользователь входит в систему с одной из ролей, а клиент банка связан с учётной записью один к одному. Клиент владеет счетами (рисунок 1.13).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876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87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1.13 – Диаграмма классов: пользователи, клиенты и счета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Все денежные операции по счёту (оплата услуг, переводы, операции по картам) оформляются банковским документом, который состоит из проводок двойной записи (рисунок 1.14).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7781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778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1.14 – Диаграмма классов: счета, платежи, переводы и проводки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Вклад открывается клиентом по условиям продукта и хранится на отдельном счёте (рисунок 1.15).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72632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7263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1.15 – Диаграмма классов: вклады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Клиент подаёт заявку на кредит по условиям продукта. После одобрения и подписания заявка порождает кредит, который погашается со счёта клиента (рисунок 1.16).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264125" cy="77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omain-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4125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1.16 – Диаграмма классов: кредиты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В диаграммы включены четырнадцать классов и одно перечисление. Назначение классов, их основные атрибуты и операции приведены в таблице 1.23. Типы атрибутов указаны в нотации JavaScript: денежные суммы в программе хранятся целым числом копеек, а остаток счёта вычисляется по проводкам, поэтому поле balance служит кэшем значения.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>Таблица 1.23 – Классы модели предметной области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170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72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32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Role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Роль пользователя и набор её прав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code, name, permissions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User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Учётная запись для входа в систему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login, passwordHash, status, failedAttempts, totpEnabled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login(), setBlocked(), changeRole()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Client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 банка с анкетными данными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lastName, firstName, birthDate, kycStatus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verifyClient(), rejectClient()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Account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Счёт клиента в одной валюте с номером IBAN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iban, kind, currency, balance,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openForUser(), closeForUser(), setFrozen()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Document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Банковский документ, объединяющий проводки одной операции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type, status, idempotencyKey, bankDate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post(), reverse()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Posting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Проводка двойной записи: дебет одного счёта и кредит другого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debitAccount, creditAccount, amount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TransferIntent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перевод со статусом, комиссией и сроком действия кода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kind, amount, amountByn, fee, status, expiresAt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confirmTransfer(), cancelTransfer()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Payment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Оплата услуги по каталогу получателей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requisite, amount, fee, source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pay(), getReceipt()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Card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Банковская платёжная карта с лимитами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system, last4, dailyLimit, onlineEnabled,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setBlocked(), updateLimits(), purchase()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DepositProduct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вклада: срок, ставка, капитализация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name, currency, termMonths, ratePercent, capitalization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projectIncome()</w:t>
            </w:r>
          </w:p>
        </w:tc>
      </w:tr>
    </w:tbl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sz w:val="28"/>
        </w:rPr>
        <w:t xml:space="preserve">Продолжение таблицы 1.23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cantSplit/>
          <w:tblHeader/>
        </w:trPr>
        <w:tc>
          <w:tcPr>
            <w:tcW w:type="dxa" w:w="170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Класс</w:t>
            </w:r>
          </w:p>
        </w:tc>
        <w:tc>
          <w:tcPr>
            <w:tcW w:type="dxa" w:w="2608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2721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атрибуты</w:t>
            </w:r>
          </w:p>
        </w:tc>
        <w:tc>
          <w:tcPr>
            <w:tcW w:type="dxa" w:w="2324"/>
          </w:tcPr>
          <w:p>
            <w:pPr>
              <w:keepNext/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операции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Deposit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Вклад клиента, открытый по условиям продукта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maturityDate, interestTotal,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quoteEarlyClose(), closeEarly()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LoanProduct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Условия кредита: ставка, границы суммы и срока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name, ratePercent, minAmount, maxAmount, minTerm, maxTerm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previewSchedule()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LoanApplication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Заявка на кредит с результатом скоринга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termMonths, scheduleType, dtiPercent, score, pdPercent,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apply(), decide(), sign()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Loan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Выданный кредит с остатком основного долга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id, amount, ratePercent, termMonths, principalBalance, status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quoteFull(), repayPartial(), repayFull()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ScheduleType</w:t>
            </w:r>
          </w:p>
        </w:tc>
        <w:tc>
          <w:tcPr>
            <w:tcW w:type="dxa" w:w="260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Перечисление видов графика платежей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annuity, differentiated</w:t>
            </w:r>
          </w:p>
        </w:tc>
        <w:tc>
          <w:tcPr>
            <w:tcW w:type="dxa" w:w="2324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–</w:t>
            </w:r>
          </w:p>
        </w:tc>
      </w:tr>
    </w:tbl>
    <w:p>
      <w:pPr>
        <w:spacing w:line="36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Диаграммы классов описывают данные и их поведение, но не показывают, где именно выполняется бизнес-логика. В программном средстве она вынесена в отдельный слой сервисов: контроллеры принимают запрос и вызывают сервис, сервис выполняет операцию в одной транзакции и обращается к моделям с SQL-запросами. Слой показан тремя диаграммами. Пунктирная стрелка означает, что один сервис использует другой, подпись указывает действие.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Закрытие операционного дня запускает начисление процентов по вкладам, исполнение автоплатежей, отправку пакета межбанковского клиринга и обработку графиков и просрочки по кредитам (рисунок 1.17).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0921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-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092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1.17 – Диаграмма классов слоя бизнес-логики: закрытие операционного дня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Перевод и межбанковский перевод проверяются антифрод-сервисом, а перевод, межбанковский перевод и подписание кредита подтверждаются кодом. Кредит оценивается сервисом скоринга (рисунок 1.18).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26862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-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268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1.18 – Диаграмма классов слоя бизнес-логики: проверка и подтверждение операций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sz w:val="28"/>
        </w:rPr>
        <w:t>Сервисы вкладов, платежей, кредитов, карт и переводов проводят деньги через сервис учёта, работают со счетами через сервис счетов, ведут журнал аудита и отправляют уведомления, которые сервис уведомлений ставит в очередь на отправку письмом (рисунок 1.19).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8209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services-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82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sz w:val="28"/>
        </w:rPr>
        <w:t>Рисунок 1.19 – Диаграмма классов слоя бизнес-логики: учёт, уведомления и аудит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