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1.8.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1.8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1.9.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1.9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модели приведена к третьей нормальной форме: каждая сущность описывает один объект предметной области, неключевые атрибуты зависят от ключа своей сущности, а связи между объектами выражены внешними ключами, а не повторением данных. Из этого правила сделаны осознанные исключения (денормализация), каждое из которых имеет причину. Во-первых, ставки по вкладам и кредитам копируются из продукта в договор: банк может изменить ставку продукта, но условия заключённого договора должны остаться прежними. Во-вторых, остаток счёта, остаток основного долга по кредиту и начисленные проценты по вкладу хранятся как значения, производные от проводок и графика платежей; пересчёт при каждом обращении замедлил бы работу и потребовал бы блокировки большого числа записей, а согласованность обеспечивается тем, что такие значения изменяются только вместе с проводкой в одной транзакции. В-третьих, результаты расчётов по заявке (платёж по графику, долговая нагрузка, скоринговый балл) сохраняются как зафиксированный итог решения, чтобы его можно было проверить и воспроизвести, даже если правила оценки изменятся. В-четвёртых, рядом с зашифрованными значениями (номер карты, идентификационный номер) хранятся хэши и 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описывается диаграммами классов. Диаграмма классов показывает классы, их атрибуты и операции, а также связи между ними: ассоциацию, агрегацию (клиент объединяет счета, вклады и заявки, но они существуют как самостоятельные записи) и композицию (документ состоит из проводок и не существует без них). Каждая связь подписана действием, рядом с концами указаны кратности. Атрибуты классов соответствуют столбцам таблиц базы данных, а операции – функциям сервисов программного средства. Основные классы предметной области показаны на рисунке 1.13.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073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07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классов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владеет счетами, открывает вклады и подаёт заявки на кредит. Каждая денежная операция (перевод, оплата услуги) оформляется документом, который состоит из проводок двойной записи: проводка списывает сумму с одного счёта и зачисляет на другой. Остаток счёта вычисляется по проводкам, а денежные суммы хранятся целым числом копеек. Назначение классов приведено в таблице 1.10.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>Таблица 1.10 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181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банка с анкетными данными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клиента в одной валюте с номером IBAN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currency, balance,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 с лимитами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last4, dailyLimit,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клиента, открытый по условиям продукта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кредит с результатом скоринга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pdPercent,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Выданный кредит с остатком основного долга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principalBalance,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repayPartial(), repayFull()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получателей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со статусом и комиссией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fee,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двойной записи: дебет одного счёта и кредит другого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классов описывает данные и их поведение, но не показывает, где выполняется бизнес-логика. В программном средстве она вынесена в слой сервисов: контроллеры принимают запрос и вызывают сервис, сервис выполняет операцию в одной транзакции и обращается к моделям с SQL-запросами. Ключевые сервисы показаны на рисунке 1.14. Пунктирная стрелка означает, что один сервис использует другой, подпись указывает действие: закрытие операционного дня запускает начисление процентов по вкладам, исполнение автоплатежей, обработку кредитов и отправку пакета межбанковских платежей; кредит оценивается сервисом скоринга; переводы проверяются антифрод-сервисом; переводы и подписание кредита подтверждаются одноразовым кодом. Сервисы вкладов, платежей, кредитов, карт и переводов проводят деньги через сервис учёта, работают со счетами через сервис счетов, ведут журнал аудита и отправляют уведомления, поэтому такие связи на рисунке не показаны.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651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65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классов слоя бизнес-логики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