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240" w:before="0"/>
        <w:ind w:firstLine="709"/>
        <w:jc w:val="left"/>
      </w:pPr>
      <w:r>
        <w:rPr>
          <w:rFonts w:ascii="Times New Roman" w:hAnsi="Times New Roman"/>
          <w:b/>
          <w:sz w:val="28"/>
        </w:rPr>
        <w:t>1.4 Разработка информационной модели предметной области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Информационная модель определяет, какие данные хранит программное средство, как они устроены и как связаны между собой. От её качества зависят целостность денежных расчётов, возможность проверить любую операцию по записям и защита персональных данных клиентов. Модель построена в виде ER-диаграммы (диаграммы «сущность – связь») и приведена на рисунке 1.12.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ER-диаграмма (от англ. Entity-Relationship, «сущность – связь») – графическая модель данных, в которой предметная область описывается совокупностью сущностей, их атрибутов и связей между ними. Сущность соответствует таблице базы данных, атрибут – её столбцу, связь – ссылке одной таблицы на другую. На диаграмме показаны основные сущности предметной области и основные связи между ними. Справочники, сессии, коды подтверждения, настройки, журнал действий и другие вспомогательные таблицы на рисунке опущены для читаемости, их полный состав приведён в SQL-скрипте создания базы данных (приложение).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47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7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sz w:val="28"/>
        </w:rPr>
        <w:t>Рисунок 1.12 – ER-диаграмма информационной модели программного средства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Четырнадцать основных сущностей образуют четыре группы. Группа доступа включает сущности «Роль», «Пользователь» и «Клиент» и определяет, кто работает с системой и что ему разрешено. Ядро учёта образуют «Счёт», «Документ» и «Проводка»: они реализуют принцип двойной записи, по которому любая операция отражается одновременно по дебету одного счёта и кредиту другого. Группа операций состоит из сущностей «Заявка на перевод», «Платёж» и «Карта». Группа продуктов описывает вклады и кредиты: «Продукт вклада», «Вклад», «Кредитный продукт», «Кредитная заявка» и «Кредит». Назначение и основные атрибуты сущностей приведены в таблице 1.6.</w:t>
      </w:r>
    </w:p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b w:val="0"/>
          <w:sz w:val="28"/>
        </w:rPr>
        <w:t>Таблица 1.6 – Описание сущностей информационной модели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66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атрибуты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Роль (roles)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Категория пользователя системы с набором прав: клиент, операционист, кредитный специалист, специалист по мониторингу, администратор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код роли, наименование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 (users)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Учётная запись для входа в систему; принадлежит одной роли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логин, хэш пароля, роль, статус, число неудачных входов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(clients)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Физическое лицо, подключённое к дистанционному банковскому обслуживанию; связано с учётной записью пользователя. Паспортные данные и идентификационный номер хранятся в зашифрованном виде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фамилия, имя, отчество, дата рождения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 (accounts)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Банковский счёт клиента (текущий, накопительный, вкладной, ссудный) либо внутренний счёт банка (касса, корреспондентский счёт, счета доходов и расходов), у которого владельца нет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номер IBAN, владелец, балансовый счёт, вид, наименование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 (documents)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Банковская операция как единое целое; объединяет все проводки одной операции. Уникальный ключ идемпотентности не позволяет выполнить одну операцию дважды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тип, статус, ключ идемпотентности, банковская дата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(postings)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Запись двойной записи: сумма, списываемая с одного счёта (дебет) и зачисляемая на другой (кредит). Остаток счёта определяется проводками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документ, счёт дебета, счёт кредита, сумма, банковская дата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 (transfer_intents)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Намерение клиента выполнить перевод; существует до подтверждения кодом и проверок антифрода, после проведения связывается с документом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(между своими счетами или клиенту), счёт списания, сумма, сумма в BYN, комиссия, документ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Платёж (payments)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Оплата услуги по каталогу поставщиков, выполненная со счёта клиента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поставщик, счёт списания, сумма, комиссия, реквизит, документ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Карта (cards)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Банковская платёжная карта, привязанная к счёту. Номер хранится в зашифрованном виде, для поиска используется хэш номера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счёт, платёжная система, зашифрованный номер, хэш номера, последние четыре цифры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Продукт вклада (deposit_products)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Условия вклада, предлагаемые банком: срок, ставка, валюта, возможность капитализации и досрочного расторжения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наименование, валюта, срок, ставка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 (deposits)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Договор вклада конкретного клиента; ставки фиксируются на дату открытия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клиент, продукт, счёт вклада, валюта, сумма, ставка, ставка «до востребования»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Кредитный продукт (loan_products)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Условия кредита, предлагаемые банком: ставка, границы суммы и срока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наименование, ставка, минимальная и максимальная сумма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 (loan_applications)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клиента на кредит с результатом оценки кредитоспособности (скоринговый балл, вероятность дефолта, долговая нагрузка) и решением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клиент, продукт, сумма, срок, вид графика, ставка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(loans)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Кредитный договор, возникший по одобренной и подписанной заявке; обслуживается по графику платежей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заявка, ссудный счёт, сумма, ставка, срок, вид графика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Связи между сущностями приведены в таблице 1.7. Все они реализованы внешними ключами, поэтому база данных не допускает ссылок на несуществующие записи: нельзя создать проводку по отсутствующему счёту или вклад без клиента.</w:t>
      </w:r>
    </w:p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b w:val="0"/>
          <w:sz w:val="28"/>
        </w:rPr>
        <w:t>Таблица 1.7 – Описание связей информационной модели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15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Родительская сущность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Дочерняя сущность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Кратность</w:t>
            </w:r>
          </w:p>
        </w:tc>
        <w:tc>
          <w:tcPr>
            <w:tcW w:type="dxa" w:w="374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Смысл связи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Роль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каждый пользователь имеет одну роль, ролью обладают многие пользователи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1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имеет одну учётную запись; у сотрудников банка записи клиента нет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владеет несколькими счетами; у внутренних счетов банка владельца нет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может иметь несколько вкладов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может подавать несколько заявок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(по дебету)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счёту выполняется много списаний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(по кредиту)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счёту выполняется много зачислений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операция состоит из нескольких проводок, сумма дебета которых равна сумме кредита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со счёта списания можно создать много заявок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проведённая заявка связывается с документом операции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Платёж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со счёта выполняется много платежей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Платёж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каждый платёж отражается документом операции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Карта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 счёту можно выпустить несколько карт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Продукт вклада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одному продукту открывается много вкладов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 учитывается на отдельном счёте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Кредитный продукт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одному продукту подаётся много заявок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1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выдаётся по одной одобренной и подписанной заявке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учитывается на ссудном счёте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проектировании модели приняты следующие решения. Денежные суммы хранятся целыми числами в минимальных единицах валюты (копейках), что исключает ошибки округления, свойственные числам с плавающей точкой. Остаток счёта не вводится независимо, а определяется проводками: он равен разности оборотов по кредиту и дебету, и значение остатка в таблице счетов изменяется только вместе с проводкой в одной транзакции. Проводки и записи журнала действий после создания не изменяются и не удаляются: запрет задан триггерами базы данных, поэтому ошибочную операцию исправляют обратной проводкой (сторно), а история остаётся полной.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Целостность данных обеспечивается на нескольких уровнях. Внешние ключи гарантируют ссылочную целостность, ограничения CHECK задают допустимые значения (например, вид счёта и статус операции), а уникальные индексы исключают дубликаты номера IBAN и ключа идемпотентности. Для внутренних счетов банка ограничение требует, чтобы владелец отсутствовал, а для счетов клиентов – чтобы он был указан. На счетах клиентов, кроме ссудных, остаток не может стать отрицательным.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Структура модели приведена к третьей нормальной форме: каждая сущность описывает один объект предметной области, неключевые атрибуты зависят от ключа своей сущности, а связи между объектами выражены внешними ключами, а не повторением данных. Из этого правила сделаны осознанные исключения (денормализация), каждое из которых имеет причину. Во-первых, ставки по вкладам и кредитам копируются из продукта в договор: банк может изменить ставку продукта, но условия заключённого договора должны остаться прежними. Во-вторых, остаток счёта, остаток основного долга по кредиту и начисленные проценты по вкладу хранятся как значения, производные от проводок и графика платежей; пересчёт при каждом обращении замедлил бы работу и потребовал бы блокировки большого числа записей, а согласованность обеспечивается тем, что такие значения изменяются только вместе с проводкой в одной транзакции. В-третьих, результаты расчётов по заявке (платёж по графику, долговая нагрузка, скоринговый балл) сохраняются как зафиксированный итог решения, чтобы его можно было проверить и воспроизвести, даже если правила оценки изменятся. В-четвёртых, рядом с зашифрованными значениями (номер карты, идентификационный номер) хранятся хэши и последние цифры, что позволяет искать записи без расшифровки.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Персональные данные защищены на уровне хранения: паспортные данные и идентификационный номер клиента, а также номер карты хранятся в зашифрованном виде алгоритмом AES-256-GCM, пароли – в виде хэш-значений. Для поиска по номеру карты и идентификационному номеру используются отдельные хэши, поэтому расшифровывать данные для поиска не требуется.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