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 UML-модели представления программного средства и их описание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Модели представления показывают программное средство с разных точек зрения: кто и для чего им пользуется, как взаимодействуют его части, в какой последовательности выполняются действия, какие состояния принимает объект и как система размещается на оборудовании. Для описания использован унифицированный язык моделирования UML, построено по одной диаграмме каждого вида. Диаграммы последовательности, деятельности и состояний посвящены оформлению кредита – наиболее сложному процессу системы (подраздел 1.2). Диаграмма классов и ER-диаграмма приведены в подразделе 1.4.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Состояния заявки на кредит показаны на рисунке 1.13, названия состояний совпадают со значениями поля статуса в базе данных.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745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4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состояний: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Заявка получает начальное состояние по результату проверки: approved при автоодобрении, manual_review при ручном рассмотрении, rejected при отказе. Специалист переводит заявку из manual_review в approved или rejected. Одобренная заявка после подписания договора кодом становится signed.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Функции системы с точки зрения внешних участников показаны на диаграмме вариантов использования (рисунок 1.14).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787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787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Актёры соответствуют участникам процесса из таблицы 1.2, варианты использования названы действиями. Клиент является специализацией гостя (обобщение) и наследует его возможности: гость смотрит курсы и регистрируется, клиент после проверки анкеты работает со счетами, переводами, платежами, вкладами, кредитами, картами и выписками. Отношение «include» показывает обязательные части действия: перевод и оплата услуги включают подтверждение операции кодом, оформление кредита включает оценку кредитоспособности и составление графика платежей, а рассмотрение заявки кредитным специалистом использует ту же оценку. Отношение «extend» показывает необязательное расширение при выполнении условия: конвертация валют, передача подозрительного перевода на проверку, досрочное закрытие вклада, досрочное погашение кредита, блокировка карты. Закрытие операционного дня администратором включает создание резервной копии.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Последовательность оформления кредита показана на рисунке 1.15.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5273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lo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27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последовательности: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Объекты подписаны в форме «: Класс», клиент и кредитный специалист показаны актёрами, период работы объекта отмечен фокусом управления, сообщения пронумерованы и названы операциями программы. Контроллер принимает заявку (create), сервис кредитов (apply) строит график платежей, считает долговую нагрузку и обращается к сервису скоринга за вероятностью дефолта. Ветвление показано отдельными блоками alt: при нагрузке выше 40 % или вероятности дефолта выше 30 % выдаётся отказ; при вероятности от 8 до 30 % или сумме выше лимита заявку рассматривает кредитный специалист (decide); иначе заявка одобряется автоматически. Одобренную заявку клиент подписывает кодом (sendCode, sign): сервис проверяет код, сохраняет договор и график, выполняет проводку выдачи кредита и переводит заявку в состояние signed.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Порядок действий и их распределение между участниками показаны на рисунке 1.16.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24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lo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2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деятельности: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деятельности дополняет подраздел 1.2. Система рассчитывает график и долговую нагрузку: при нагрузке выше 40 % следует отказ. Затем скоринг определяет вероятность дефолта и направляет заявку по одной из ветвей: автоодобрение, ручное рассмотрение кредитным специалистом или отказ. После одобрения клиент подписывает договор кодом, и система выдаёт кредит: открывает ссудный счёт, формирует график и зачисляет деньги.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Структура программного средства показана на диаграмме компонентов (рисунок 1.17).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27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compon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2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Браузер получает по HTTPS файлы интерфейса (страницу, таблицу стилей, модули JavaScript), затем обращается к программному интерфейсу сервера и получает данные в формате JSON. На сервере запрос проходит через промежуточные слои (сессии, защита от подделки запросов, проверка прав, двухфакторная защита), затем маршруты передают его контроллеру. Контроллер вызывает сервисы с бизнес-логикой и возвращает JSON, а страницы из него собирает клиентский JavaScript. Сервисы работают с базой данных MySQL через модели с SQL-запросами, получают курсы валют от Национального банка и отправляют письма через SMTP-сервер. Фоновые задачи создают зашифрованные резервные копии.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Размещение программного средства на оборудовании показано на диаграмме развёртывания (рисунок 1.18).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70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развёртывания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работает в браузере и обращается к серверу приложения по протоколу HTTPS через обратный прокси-сервер с сертификатом TLS. Приложение на Node.js обращается к серверу базы данных MySQL, к почтовому серверу по SMTP и к Национальному банку за курсами валют.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Построенные модели согласованы между собой и с подразделом 1.4: актёры и варианты использования соответствуют ролям и правам доступа, последовательность и состояния – статусам заявок в базе данных, компоненты – слоям программы.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