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360" w:lineRule="auto" w:after="0" w:before="0"/>
        <w:ind w:firstLine="709"/>
        <w:jc w:val="both"/>
      </w:pPr>
      <w:r>
        <w:rPr>
          <w:rFonts w:ascii="Times New Roman" w:hAnsi="Times New Roman"/>
          <w:b/>
          <w:sz w:val="28"/>
        </w:rPr>
        <w:t>1.5 UML-модели представления программного средства и их описание</w:t>
      </w:r>
    </w:p>
    <w:p>
      <w:pPr>
        <w:spacing w:line="360" w:lineRule="auto" w:after="0" w:before="0"/>
        <w:ind w:firstLine="709"/>
        <w:jc w:val="both"/>
      </w:pPr>
      <w:r>
        <w:rPr>
          <w:rFonts w:ascii="Times New Roman" w:hAnsi="Times New Roman"/>
          <w:sz w:val="28"/>
        </w:rPr>
        <w:t>Модели представления показывают программное средство с разных точек зрения: кто и для чего им пользуется, как взаимодействуют его части, в какой последовательности выполняются действия, какие состояния принимает объект и как система размещается на оборудовании. Для описания использован унифицированный язык моделирования UML, построено по одной диаграмме каждого вида. Диаграммы последовательности, деятельности и состояний посвящены оформлению кредита – наиболее сложному процессу системы (подраздел 1.2). Диаграмма классов и ER-диаграмма приведены в подразделе 1.4.</w:t>
      </w:r>
    </w:p>
    <w:p>
      <w:pPr>
        <w:spacing w:line="360" w:lineRule="auto" w:after="0" w:before="0"/>
        <w:ind w:firstLine="709"/>
        <w:jc w:val="both"/>
      </w:pPr>
      <w:r>
        <w:rPr>
          <w:rFonts w:ascii="Times New Roman" w:hAnsi="Times New Roman"/>
          <w:sz w:val="28"/>
        </w:rPr>
        <w:t>Размещение программного средства на оборудовании показано на диаграмме развёртывания (рисунок 1.13).</w:t>
      </w:r>
    </w:p>
    <w:p>
      <w:pPr>
        <w:spacing w:line="360" w:lineRule="auto" w:after="0" w:before="0"/>
        <w:ind w:firstLine="709"/>
        <w:jc w:val="both"/>
      </w:pPr>
      <w:r>
        <w:rPr>
          <w:rFonts w:ascii="Times New Roman" w:hAnsi="Times New Roman"/>
          <w:sz w:val="28"/>
        </w:rPr>
        <w:t>Клиент работает в браузере и обращается к серверу приложения по протоколу HTTPS через обратный прокси-сервер с сертификатом TLS. Приложение на Node.js обращается к серверу базы данных MySQL, к почтовому серверу по SMTP и к Национальному банку за курсами валют.</w:t>
      </w:r>
    </w:p>
    <w:p>
      <w:pPr>
        <w:keepNext/>
        <w:spacing w:line="360" w:lineRule="auto" w:after="240" w:before="0"/>
        <w:jc w:val="center"/>
      </w:pPr>
      <w:r>
        <w:drawing>
          <wp:inline xmlns:a="http://schemas.openxmlformats.org/drawingml/2006/main" xmlns:pic="http://schemas.openxmlformats.org/drawingml/2006/picture">
            <wp:extent cx="5868000" cy="2970479"/>
            <wp:docPr id="1" name="Picture 1"/>
            <wp:cNvGraphicFramePr>
              <a:graphicFrameLocks noChangeAspect="1"/>
            </wp:cNvGraphicFramePr>
            <a:graphic>
              <a:graphicData uri="http://schemas.openxmlformats.org/drawingml/2006/picture">
                <pic:pic>
                  <pic:nvPicPr>
                    <pic:cNvPr id="0" name="view-deployment.png"/>
                    <pic:cNvPicPr/>
                  </pic:nvPicPr>
                  <pic:blipFill>
                    <a:blip r:embed="rId10"/>
                    <a:stretch>
                      <a:fillRect/>
                    </a:stretch>
                  </pic:blipFill>
                  <pic:spPr>
                    <a:xfrm>
                      <a:off x="0" y="0"/>
                      <a:ext cx="5868000" cy="2970479"/>
                    </a:xfrm>
                    <a:prstGeom prst="rect"/>
                  </pic:spPr>
                </pic:pic>
              </a:graphicData>
            </a:graphic>
          </wp:inline>
        </w:drawing>
      </w:r>
    </w:p>
    <w:p>
      <w:pPr>
        <w:spacing w:line="360" w:lineRule="auto" w:after="240" w:before="0"/>
        <w:jc w:val="center"/>
      </w:pPr>
      <w:r>
        <w:rPr>
          <w:rFonts w:ascii="Times New Roman" w:hAnsi="Times New Roman"/>
          <w:sz w:val="28"/>
        </w:rPr>
        <w:t>Рисунок 1.13 – Диаграмма развёртывания</w:t>
      </w:r>
    </w:p>
    <w:p>
      <w:pPr>
        <w:spacing w:line="360" w:lineRule="auto" w:after="0" w:before="0"/>
        <w:ind w:firstLine="709"/>
        <w:jc w:val="both"/>
      </w:pPr>
      <w:r>
        <w:rPr>
          <w:rFonts w:ascii="Times New Roman" w:hAnsi="Times New Roman"/>
          <w:sz w:val="28"/>
        </w:rPr>
        <w:t>Функции системы с точки зрения внешних участников показаны на диаграмме вариантов использования (рисунок 1.14).</w:t>
      </w:r>
    </w:p>
    <w:p>
      <w:pPr>
        <w:keepNext/>
        <w:spacing w:line="360" w:lineRule="auto" w:after="240" w:before="0"/>
        <w:jc w:val="center"/>
      </w:pPr>
      <w:r>
        <w:drawing>
          <wp:inline xmlns:a="http://schemas.openxmlformats.org/drawingml/2006/main" xmlns:pic="http://schemas.openxmlformats.org/drawingml/2006/picture">
            <wp:extent cx="5868000" cy="6787696"/>
            <wp:docPr id="2" name="Picture 2"/>
            <wp:cNvGraphicFramePr>
              <a:graphicFrameLocks noChangeAspect="1"/>
            </wp:cNvGraphicFramePr>
            <a:graphic>
              <a:graphicData uri="http://schemas.openxmlformats.org/drawingml/2006/picture">
                <pic:pic>
                  <pic:nvPicPr>
                    <pic:cNvPr id="0" name="view-uc.png"/>
                    <pic:cNvPicPr/>
                  </pic:nvPicPr>
                  <pic:blipFill>
                    <a:blip r:embed="rId11"/>
                    <a:stretch>
                      <a:fillRect/>
                    </a:stretch>
                  </pic:blipFill>
                  <pic:spPr>
                    <a:xfrm>
                      <a:off x="0" y="0"/>
                      <a:ext cx="5868000" cy="6787696"/>
                    </a:xfrm>
                    <a:prstGeom prst="rect"/>
                  </pic:spPr>
                </pic:pic>
              </a:graphicData>
            </a:graphic>
          </wp:inline>
        </w:drawing>
      </w:r>
    </w:p>
    <w:p>
      <w:pPr>
        <w:spacing w:line="360" w:lineRule="auto" w:after="240" w:before="0"/>
        <w:jc w:val="center"/>
      </w:pPr>
      <w:r>
        <w:rPr>
          <w:rFonts w:ascii="Times New Roman" w:hAnsi="Times New Roman"/>
          <w:sz w:val="28"/>
        </w:rPr>
        <w:t>Рисунок 1.14 – Диаграмма вариантов использования</w:t>
      </w:r>
    </w:p>
    <w:p>
      <w:pPr>
        <w:spacing w:line="360" w:lineRule="auto" w:after="0" w:before="0"/>
        <w:ind w:firstLine="709"/>
        <w:jc w:val="both"/>
      </w:pPr>
      <w:r>
        <w:rPr>
          <w:rFonts w:ascii="Times New Roman" w:hAnsi="Times New Roman"/>
          <w:sz w:val="28"/>
        </w:rPr>
        <w:t>Актёры соответствуют участникам процесса из таблицы 1.2, варианты использования названы действиями. Клиент является специализацией гостя (обобщение) и наследует его возможности: гость смотрит курсы и регистрируется, клиент после проверки анкеты работает со счетами, переводами, платежами, вкладами, кредитами, картами и выписками. Отношение «include» показывает обязательные части действия: перевод и оплата услуги включают подтверждение операции кодом, оформление кредита включает оценку кредитоспособности и составление графика платежей, а рассмотрение заявки кредитным специалистом использует ту же оценку. Отношение «extend» показывает необязательное расширение при выполнении условия: конвертация валют, передача подозрительного перевода на проверку, досрочное закрытие вклада, досрочное погашение кредита, блокировка карты. Закрытие операционного дня администратором включает создание резервной копии.</w:t>
      </w:r>
    </w:p>
    <w:p>
      <w:pPr>
        <w:spacing w:line="360" w:lineRule="auto" w:after="0" w:before="0"/>
        <w:ind w:firstLine="709"/>
        <w:jc w:val="both"/>
      </w:pPr>
      <w:r>
        <w:rPr>
          <w:rFonts w:ascii="Times New Roman" w:hAnsi="Times New Roman"/>
          <w:sz w:val="28"/>
        </w:rPr>
        <w:t>Последовательность оформления кредита показана на рисунке 1.15.</w:t>
      </w:r>
    </w:p>
    <w:p>
      <w:pPr>
        <w:keepNext/>
        <w:spacing w:line="360" w:lineRule="auto" w:after="240" w:before="0"/>
        <w:jc w:val="center"/>
      </w:pPr>
      <w:r>
        <w:drawing>
          <wp:inline xmlns:a="http://schemas.openxmlformats.org/drawingml/2006/main" xmlns:pic="http://schemas.openxmlformats.org/drawingml/2006/picture">
            <wp:extent cx="5442408" cy="7560000"/>
            <wp:docPr id="3" name="Picture 3"/>
            <wp:cNvGraphicFramePr>
              <a:graphicFrameLocks noChangeAspect="1"/>
            </wp:cNvGraphicFramePr>
            <a:graphic>
              <a:graphicData uri="http://schemas.openxmlformats.org/drawingml/2006/picture">
                <pic:pic>
                  <pic:nvPicPr>
                    <pic:cNvPr id="0" name="view-seq-loan.png"/>
                    <pic:cNvPicPr/>
                  </pic:nvPicPr>
                  <pic:blipFill>
                    <a:blip r:embed="rId12"/>
                    <a:stretch>
                      <a:fillRect/>
                    </a:stretch>
                  </pic:blipFill>
                  <pic:spPr>
                    <a:xfrm>
                      <a:off x="0" y="0"/>
                      <a:ext cx="5442408" cy="7560000"/>
                    </a:xfrm>
                    <a:prstGeom prst="rect"/>
                  </pic:spPr>
                </pic:pic>
              </a:graphicData>
            </a:graphic>
          </wp:inline>
        </w:drawing>
      </w:r>
    </w:p>
    <w:p>
      <w:pPr>
        <w:spacing w:line="360" w:lineRule="auto" w:after="240" w:before="0"/>
        <w:jc w:val="center"/>
      </w:pPr>
      <w:r>
        <w:rPr>
          <w:rFonts w:ascii="Times New Roman" w:hAnsi="Times New Roman"/>
          <w:sz w:val="28"/>
        </w:rPr>
        <w:t>Рисунок 1.15 – Диаграммы последовательности: оформление кредита</w:t>
      </w:r>
    </w:p>
    <w:p>
      <w:pPr>
        <w:spacing w:line="360" w:lineRule="auto" w:after="0" w:before="0"/>
        <w:ind w:firstLine="709"/>
        <w:jc w:val="both"/>
      </w:pPr>
      <w:r>
        <w:rPr>
          <w:rFonts w:ascii="Times New Roman" w:hAnsi="Times New Roman"/>
          <w:sz w:val="28"/>
        </w:rPr>
        <w:t>Рисунок состоит из трёх диаграмм, по одной на каждый поток управления: ветвление по результату скоринга вынесено в отдельные диаграммы. Объекты подписаны в форме «: Класс», клиент и кредитный специалист показаны актёрами, период работы объекта отмечен фокусом управления, сообщения названы операциями программы. На первой диаграмме метод create() контроллера передаёт заявку сервису кредитов, метод apply() которого строит график платежей, считает долговую нагрузку, обращается к сервису скоринга за вероятностью дефолта и сохраняет заявку со статусом: при вероятности до 8 % и сумме в пределах лимита заявка одобрена автоматически, при вероятности до 30 % она передаётся на ручное рассмотрение, в остальных случаях выдаётся отказ. Вторая диаграмма описывает ручное рассмотрение: специалист вызывает decide(), сервис блокирует заявку и сохраняет решение. Третья относится к одобренной заявке: клиент запрашивает код (sendCode) и подписывает договор (sign), сервис проверяет код, сохраняет договор и график, выполняет проводку выдачи кредита и переводит заявку в состояние signed.</w:t>
      </w:r>
    </w:p>
    <w:p>
      <w:pPr>
        <w:spacing w:line="360" w:lineRule="auto" w:after="0" w:before="0"/>
        <w:ind w:firstLine="709"/>
        <w:jc w:val="both"/>
      </w:pPr>
      <w:r>
        <w:rPr>
          <w:rFonts w:ascii="Times New Roman" w:hAnsi="Times New Roman"/>
          <w:sz w:val="28"/>
        </w:rPr>
        <w:t>Порядок действий и их распределение между участниками показаны на рисунке 1.16.</w:t>
      </w:r>
    </w:p>
    <w:p>
      <w:pPr>
        <w:keepNext/>
        <w:spacing w:line="360" w:lineRule="auto" w:after="240" w:before="0"/>
        <w:jc w:val="center"/>
      </w:pPr>
      <w:r>
        <w:drawing>
          <wp:inline xmlns:a="http://schemas.openxmlformats.org/drawingml/2006/main" xmlns:pic="http://schemas.openxmlformats.org/drawingml/2006/picture">
            <wp:extent cx="5868000" cy="6924240"/>
            <wp:docPr id="4" name="Picture 4"/>
            <wp:cNvGraphicFramePr>
              <a:graphicFrameLocks noChangeAspect="1"/>
            </wp:cNvGraphicFramePr>
            <a:graphic>
              <a:graphicData uri="http://schemas.openxmlformats.org/drawingml/2006/picture">
                <pic:pic>
                  <pic:nvPicPr>
                    <pic:cNvPr id="0" name="view-act-loan.png"/>
                    <pic:cNvPicPr/>
                  </pic:nvPicPr>
                  <pic:blipFill>
                    <a:blip r:embed="rId13"/>
                    <a:stretch>
                      <a:fillRect/>
                    </a:stretch>
                  </pic:blipFill>
                  <pic:spPr>
                    <a:xfrm>
                      <a:off x="0" y="0"/>
                      <a:ext cx="5868000" cy="6924240"/>
                    </a:xfrm>
                    <a:prstGeom prst="rect"/>
                  </pic:spPr>
                </pic:pic>
              </a:graphicData>
            </a:graphic>
          </wp:inline>
        </w:drawing>
      </w:r>
    </w:p>
    <w:p>
      <w:pPr>
        <w:spacing w:line="360" w:lineRule="auto" w:after="240" w:before="0"/>
        <w:jc w:val="center"/>
      </w:pPr>
      <w:r>
        <w:rPr>
          <w:rFonts w:ascii="Times New Roman" w:hAnsi="Times New Roman"/>
          <w:sz w:val="28"/>
        </w:rPr>
        <w:t>Рисунок 1.16 – Диаграмма деятельности: оформление кредита</w:t>
      </w:r>
    </w:p>
    <w:p>
      <w:pPr>
        <w:spacing w:line="360" w:lineRule="auto" w:after="0" w:before="0"/>
        <w:ind w:firstLine="709"/>
        <w:jc w:val="both"/>
      </w:pPr>
      <w:r>
        <w:rPr>
          <w:rFonts w:ascii="Times New Roman" w:hAnsi="Times New Roman"/>
          <w:sz w:val="28"/>
        </w:rPr>
        <w:t>Диаграмма деятельности дополняет подраздел 1.2. Система рассчитывает график и долговую нагрузку: при нагрузке выше 40 % следует отказ. Затем скоринг определяет вероятность дефолта и направляет заявку по одной из ветвей: автоодобрение, ручное рассмотрение кредитным специалистом или отказ. После одобрения клиент подписывает договор кодом, и система выдаёт кредит: открывает ссудный счёт, формирует график и зачисляет деньги.</w:t>
      </w:r>
    </w:p>
    <w:p>
      <w:pPr>
        <w:spacing w:line="360" w:lineRule="auto" w:after="0" w:before="0"/>
        <w:ind w:firstLine="709"/>
        <w:jc w:val="both"/>
      </w:pPr>
      <w:r>
        <w:rPr>
          <w:rFonts w:ascii="Times New Roman" w:hAnsi="Times New Roman"/>
          <w:sz w:val="28"/>
        </w:rPr>
        <w:t>Состояния заявки на кредит показаны на рисунке 1.17, названия состояний совпадают со значениями поля статуса в базе данных.</w:t>
      </w:r>
    </w:p>
    <w:p>
      <w:pPr>
        <w:keepNext/>
        <w:spacing w:line="360" w:lineRule="auto" w:after="240" w:before="0"/>
        <w:jc w:val="center"/>
      </w:pPr>
      <w:r>
        <w:drawing>
          <wp:inline xmlns:a="http://schemas.openxmlformats.org/drawingml/2006/main" xmlns:pic="http://schemas.openxmlformats.org/drawingml/2006/picture">
            <wp:extent cx="5868000" cy="2745781"/>
            <wp:docPr id="5" name="Picture 5"/>
            <wp:cNvGraphicFramePr>
              <a:graphicFrameLocks noChangeAspect="1"/>
            </wp:cNvGraphicFramePr>
            <a:graphic>
              <a:graphicData uri="http://schemas.openxmlformats.org/drawingml/2006/picture">
                <pic:pic>
                  <pic:nvPicPr>
                    <pic:cNvPr id="0" name="view-st-loan.png"/>
                    <pic:cNvPicPr/>
                  </pic:nvPicPr>
                  <pic:blipFill>
                    <a:blip r:embed="rId14"/>
                    <a:stretch>
                      <a:fillRect/>
                    </a:stretch>
                  </pic:blipFill>
                  <pic:spPr>
                    <a:xfrm>
                      <a:off x="0" y="0"/>
                      <a:ext cx="5868000" cy="2745781"/>
                    </a:xfrm>
                    <a:prstGeom prst="rect"/>
                  </pic:spPr>
                </pic:pic>
              </a:graphicData>
            </a:graphic>
          </wp:inline>
        </w:drawing>
      </w:r>
    </w:p>
    <w:p>
      <w:pPr>
        <w:spacing w:line="360" w:lineRule="auto" w:after="240" w:before="0"/>
        <w:jc w:val="center"/>
      </w:pPr>
      <w:r>
        <w:rPr>
          <w:rFonts w:ascii="Times New Roman" w:hAnsi="Times New Roman"/>
          <w:sz w:val="28"/>
        </w:rPr>
        <w:t>Рисунок 1.17 – Диаграмма состояний: заявка на кредит</w:t>
      </w:r>
    </w:p>
    <w:p>
      <w:pPr>
        <w:spacing w:line="360" w:lineRule="auto" w:after="0" w:before="0"/>
        <w:ind w:firstLine="709"/>
        <w:jc w:val="both"/>
      </w:pPr>
      <w:r>
        <w:rPr>
          <w:rFonts w:ascii="Times New Roman" w:hAnsi="Times New Roman"/>
          <w:sz w:val="28"/>
        </w:rPr>
        <w:t>Заявка получает начальное состояние по результату проверки: approved при автоодобрении, manual_review при ручном рассмотрении, rejected при отказе. Специалист переводит заявку из manual_review в approved или rejected. Одобренная заявка после подписания договора кодом становится signed.</w:t>
      </w:r>
    </w:p>
    <w:p>
      <w:pPr>
        <w:spacing w:line="360" w:lineRule="auto" w:after="0" w:before="0"/>
        <w:ind w:firstLine="709"/>
        <w:jc w:val="both"/>
      </w:pPr>
      <w:r>
        <w:rPr>
          <w:rFonts w:ascii="Times New Roman" w:hAnsi="Times New Roman"/>
          <w:sz w:val="28"/>
        </w:rPr>
        <w:t>Структура программного средства показана на диаграмме компонентов (рисунок 1.18).</w:t>
      </w:r>
    </w:p>
    <w:p>
      <w:pPr>
        <w:keepNext/>
        <w:spacing w:line="360" w:lineRule="auto" w:after="240" w:before="0"/>
        <w:jc w:val="center"/>
      </w:pPr>
      <w:r>
        <w:drawing>
          <wp:inline xmlns:a="http://schemas.openxmlformats.org/drawingml/2006/main" xmlns:pic="http://schemas.openxmlformats.org/drawingml/2006/picture">
            <wp:extent cx="5868000" cy="3027142"/>
            <wp:docPr id="6" name="Picture 6"/>
            <wp:cNvGraphicFramePr>
              <a:graphicFrameLocks noChangeAspect="1"/>
            </wp:cNvGraphicFramePr>
            <a:graphic>
              <a:graphicData uri="http://schemas.openxmlformats.org/drawingml/2006/picture">
                <pic:pic>
                  <pic:nvPicPr>
                    <pic:cNvPr id="0" name="view-components.png"/>
                    <pic:cNvPicPr/>
                  </pic:nvPicPr>
                  <pic:blipFill>
                    <a:blip r:embed="rId15"/>
                    <a:stretch>
                      <a:fillRect/>
                    </a:stretch>
                  </pic:blipFill>
                  <pic:spPr>
                    <a:xfrm>
                      <a:off x="0" y="0"/>
                      <a:ext cx="5868000" cy="3027142"/>
                    </a:xfrm>
                    <a:prstGeom prst="rect"/>
                  </pic:spPr>
                </pic:pic>
              </a:graphicData>
            </a:graphic>
          </wp:inline>
        </w:drawing>
      </w:r>
    </w:p>
    <w:p>
      <w:pPr>
        <w:spacing w:line="360" w:lineRule="auto" w:after="240" w:before="0"/>
        <w:jc w:val="center"/>
      </w:pPr>
      <w:r>
        <w:rPr>
          <w:rFonts w:ascii="Times New Roman" w:hAnsi="Times New Roman"/>
          <w:sz w:val="28"/>
        </w:rPr>
        <w:t>Рисунок 1.18 – Диаграмма компонентов</w:t>
      </w:r>
    </w:p>
    <w:p>
      <w:pPr>
        <w:spacing w:line="360" w:lineRule="auto" w:after="0" w:before="0"/>
        <w:ind w:firstLine="709"/>
        <w:jc w:val="both"/>
      </w:pPr>
      <w:r>
        <w:rPr>
          <w:rFonts w:ascii="Times New Roman" w:hAnsi="Times New Roman"/>
          <w:sz w:val="28"/>
        </w:rPr>
        <w:t>Браузер получает по HTTPS файлы интерфейса (страницу, таблицу стилей, модули JavaScript), затем обращается к программному интерфейсу сервера и получает данные в формате JSON. На сервере запрос проходит через промежуточные слои (сессии, защита от подделки запросов, проверка прав, двухфакторная защита), затем маршруты передают его контроллеру. Контроллер вызывает сервисы с бизнес-логикой и возвращает JSON, а страницы из него собирает клиентский JavaScript. Сервисы работают с базой данных MySQL через модели с SQL-запросами, получают курсы валют от Национального банка и отправляют письма через SMTP-сервер. Фоновые задачи создают зашифрованные резервные копии.</w:t>
      </w:r>
    </w:p>
    <w:p>
      <w:pPr>
        <w:spacing w:line="360" w:lineRule="auto" w:after="0" w:before="0"/>
        <w:ind w:firstLine="709"/>
        <w:jc w:val="both"/>
      </w:pPr>
      <w:r>
        <w:rPr>
          <w:rFonts w:ascii="Times New Roman" w:hAnsi="Times New Roman"/>
          <w:sz w:val="28"/>
        </w:rPr>
        <w:t>Построенные модели согласованы между собой и с подразделом 1.4: актёры и варианты использования соответствуют ролям и правам доступа, последовательность и состояния – статусам заявок в базе данных, компоненты – слоям программы.</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