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firstLine="709"/>
        <w:contextualSpacing/>
        <w:jc w:val="both"/>
      </w:pPr>
      <w:r>
        <w:rPr>
          <w:highlight w:val="yellow"/>
        </w:rPr>
        <w:t>[Вставить в 1.3 после абзаца «Программное средство должно быть реализовано как клиент-серверное веб-приложение…» и перед абзацем «Функциональность программного средства для разных категорий пользователей…». Эту строку удалить.]</w:t>
      </w:r>
    </w:p>
    <w:p>
      <w:pPr>
        <w:ind w:firstLine="709"/>
        <w:contextualSpacing/>
        <w:jc w:val="both"/>
      </w:pPr>
      <w:r>
        <w:t>Возможности бизнеса. Создание программного средства позволит банку: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предоставить клиентам круглосуточный доступ к счетам, переводам, платежам, вкладам, кредитам и банковским картам без посещения отделения;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вести учёт операций по принципу двойной записи с полной неизменяемой историей и автоматической проверкой сбалансированности;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принимать решения по кредитным заявкам по формализованным правилам: рассчитывать долговую нагрузку и вероятность дефолта и автоматически одобрять, направлять на ручное рассмотрение или отклонять заявки;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выявлять подозрительные переводы по правилам контроля и приостанавливать их до решения специалиста по финансовому мониторингу;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выполнять регламентные операции (начисление процентов по вкладам, обслуживание кредитов, автоплатежи, межбанковский клиринг) при закрытии операционного дня;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разграничить права сотрудников банка в зависимости от выполняемых ими функций;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сохранять данные клиентов с помощью шифрования, журнала действий и резервного копирования.</w:t>
      </w:r>
    </w:p>
    <w:p>
      <w:pPr>
        <w:ind w:firstLine="709"/>
        <w:contextualSpacing/>
        <w:jc w:val="both"/>
      </w:pPr>
      <w:r>
        <w:t>Это позволит сократить трудоёмкость обработки операций, уменьшить число ошибок ручного ввода и дать клиенту понятное обоснование решений банка.</w:t>
      </w:r>
    </w:p>
    <w:p>
      <w:pPr>
        <w:ind w:firstLine="709"/>
        <w:contextualSpacing/>
        <w:jc w:val="both"/>
      </w:pPr>
      <w:r>
        <w:t>Бизнес-цели. Бизнес-цели проекта и критерии их достижения приведены в таблице 1.5.</w:t>
      </w:r>
    </w:p>
    <w:p>
      <w:pPr>
        <w:keepNext/>
        <w:ind w:left="1701" w:hanging="1701"/>
        <w:contextualSpacing/>
        <w:jc w:val="both"/>
      </w:pPr>
      <w:r>
        <w:t>Таблица 1.5 – Бизнес-цели проекта и критерии их достижения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100"/>
        <w:gridCol w:w="3300"/>
        <w:gridCol w:w="4950"/>
      </w:tblGrid>
      <w:tr>
        <w:trPr>
          <w:cantSplit/>
          <w:tblHeader/>
        </w:trPr>
        <w:tc>
          <w:tcPr>
            <w:tcW w:type="dxa" w:w="11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3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Бизнес-цель</w:t>
            </w:r>
          </w:p>
        </w:tc>
        <w:tc>
          <w:tcPr>
            <w:tcW w:type="dxa" w:w="49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Критерий достижения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BO-1</w:t>
            </w:r>
          </w:p>
        </w:tc>
        <w:tc>
          <w:tcPr>
            <w:tcW w:type="dxa" w:w="33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Расширить дистанционное обслуживание физических лиц</w:t>
            </w:r>
          </w:p>
        </w:tc>
        <w:tc>
          <w:tcPr>
            <w:tcW w:type="dxa" w:w="49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Все группы услуг из таблицы 1.1 доступны клиенту в системе, визит в отделение нужен только для внесения и получения наличных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BO-2</w:t>
            </w:r>
          </w:p>
        </w:tc>
        <w:tc>
          <w:tcPr>
            <w:tcW w:type="dxa" w:w="3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Сократить трудоёмкость кредитного процесса</w:t>
            </w:r>
          </w:p>
        </w:tc>
        <w:tc>
          <w:tcPr>
            <w:tcW w:type="dxa" w:w="49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Заявки решаются системой автоматически, кредитный специалист рассматривает только заявки, направленные на ручное рассмотрение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BO-3</w:t>
            </w:r>
          </w:p>
        </w:tc>
        <w:tc>
          <w:tcPr>
            <w:tcW w:type="dxa" w:w="3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Обеспечить достоверность учёта</w:t>
            </w:r>
          </w:p>
        </w:tc>
        <w:tc>
          <w:tcPr>
            <w:tcW w:type="dxa" w:w="49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При закрытии каждого операционного дня сумма остатков по каждой валюте равна нулю, проводки не изменяются и не удаляются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1.5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100"/>
        <w:gridCol w:w="3300"/>
        <w:gridCol w:w="4950"/>
      </w:tblGrid>
      <w:tr>
        <w:trPr>
          <w:cantSplit/>
          <w:tblHeader/>
        </w:trPr>
        <w:tc>
          <w:tcPr>
            <w:tcW w:type="dxa" w:w="11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3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Бизнес-цель</w:t>
            </w:r>
          </w:p>
        </w:tc>
        <w:tc>
          <w:tcPr>
            <w:tcW w:type="dxa" w:w="49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Критерий достижения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BO-4</w:t>
            </w:r>
          </w:p>
        </w:tc>
        <w:tc>
          <w:tcPr>
            <w:tcW w:type="dxa" w:w="3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Снизить риск мошеннических операций</w:t>
            </w:r>
          </w:p>
        </w:tc>
        <w:tc>
          <w:tcPr>
            <w:tcW w:type="dxa" w:w="49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Переводы с высокой оценкой риска приостанавливаются, сумма резервируется до решения специалиста; операции особого контроля попадают в отдельный отчёт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BO-5</w:t>
            </w:r>
          </w:p>
        </w:tc>
        <w:tc>
          <w:tcPr>
            <w:tcW w:type="dxa" w:w="3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Защитить деньги и персональные данные клиентов</w:t>
            </w:r>
          </w:p>
        </w:tc>
        <w:tc>
          <w:tcPr>
            <w:tcW w:type="dxa" w:w="49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Пароли хранятся в виде хэш-значений, паспортные данные шифруются, крупные переводы и подписание договора подтверждаются одноразовым кодом, действия пользователей записываются в журнал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BO-6</w:t>
            </w:r>
          </w:p>
        </w:tc>
        <w:tc>
          <w:tcPr>
            <w:tcW w:type="dxa" w:w="3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Сделать решения банка понятными клиенту</w:t>
            </w:r>
          </w:p>
        </w:tc>
        <w:tc>
          <w:tcPr>
            <w:tcW w:type="dxa" w:w="49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До подписания договора клиент видит расчёт долговой нагрузки, результат скоринга и график платежей, при отказе указывается причина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BO-7</w:t>
            </w:r>
          </w:p>
        </w:tc>
        <w:tc>
          <w:tcPr>
            <w:tcW w:type="dxa" w:w="3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Обеспечить сохранность данных</w:t>
            </w:r>
          </w:p>
        </w:tc>
        <w:tc>
          <w:tcPr>
            <w:tcW w:type="dxa" w:w="49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Резервная копия базы данных создаётся не реже одного раза в сутки, администратор может восстановить базу из копии</w:t>
            </w:r>
          </w:p>
        </w:tc>
      </w:tr>
    </w:tbl>
    <w:p>
      <w:pPr>
        <w:ind w:firstLine="709"/>
        <w:contextualSpacing/>
        <w:jc w:val="both"/>
      </w:pPr>
    </w:p>
    <w:p>
      <w:pPr>
        <w:ind w:firstLine="709"/>
        <w:contextualSpacing/>
        <w:jc w:val="both"/>
      </w:pPr>
      <w:r>
        <w:t>Видение решения. Разрабатываемое программное средство – веб-приложение «ТалерБанк» (название условное) для дистанционного банковского обслуживания физических лиц. Для гостя оно предоставляет курсы валют, калькуляторы вкладов и кредитов и подачу заявки на подключение. После проверки анкеты клиенту доступны: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счета в белорусских рублях и иностранной валюте с номерами в формате IBAN;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переводы между своими счетами с конвертацией, переводы клиентам банка по номеру IBAN и в другие банки через клиринг с подтверждением кодом;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оплата услуг по каталогу поставщиков, шаблоны платежей и автоплатежи;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вклады с калькулятором дохода и досрочным закрытием с перерасчётом процентов;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кредиты с расчётом графика платежей, долговой нагрузки и скоринга, подписанием договора кодом и досрочным погашением;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выпуск и блокировка банковских карт, установка лимитов;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выписки по счетам и справки в формате PDF.</w:t>
      </w:r>
    </w:p>
    <w:p>
      <w:pPr>
        <w:ind w:firstLine="709"/>
        <w:contextualSpacing/>
        <w:jc w:val="both"/>
      </w:pPr>
      <w:r>
        <w:t>Сотрудники банка работают в том же приложении в рабочих местах, состав которых определяется ролью: проверка анкет и касса, рассмотрение кредитных заявок, финансовый мониторинг, администрирование. Все денежные операции выполняются через единый механизм проводок двойной записи в одной транзакции базы данных. В отличие от рассмотренных аналогов (таблица 1.3), в разрабатываемом решении переводы проводятся в момент подтверждения, выписка формируется за произвольный период, а клиенту объясняется решение по кредитной заявке.</w:t>
      </w:r>
    </w:p>
    <w:p>
      <w:pPr>
        <w:ind w:firstLine="709"/>
        <w:contextualSpacing/>
        <w:jc w:val="both"/>
      </w:pPr>
      <w:r>
        <w:t>Бизнес-правила. Правила, которым должно соответствовать программное средство, приведены в таблице 1.6.</w:t>
      </w:r>
    </w:p>
    <w:p>
      <w:pPr>
        <w:keepNext/>
        <w:ind w:left="1701" w:hanging="1701"/>
        <w:contextualSpacing/>
        <w:jc w:val="both"/>
      </w:pPr>
      <w:r>
        <w:t>Таблица 1.6 – Бизнес-правила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000"/>
        <w:gridCol w:w="3900"/>
        <w:gridCol w:w="1850"/>
        <w:gridCol w:w="2600"/>
      </w:tblGrid>
      <w:tr>
        <w:trPr>
          <w:cantSplit/>
          <w:tblHeader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Номер счёта записывается в формате IBAN Республики Беларусь (28 символов), контрольные цифры вычисляются как остаток от деления на 97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Стандарт ISO 13616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BR-2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Денежные суммы хранятся и обрабатываются целыми числами в наименьших единицах валюты (копейках)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Проектное решение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BR-3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Каждая операция с деньгами отражается проводкой по дебету одного и кредиту другого счёта; проводки не изменяются и не удаляются, ошибка исправляется сторнированием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Факт,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Принцип двойной записи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BR-4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получает доступ к операциям после проверки анкеты сотрудником банка; возраст клиента не менее 18 лет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Закон «О мерах по предотвращению легализации доходов…»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BR-5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Идентификационный номер и паспортные данные хранятся только в зашифрованном виде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Закон «О защите персональных данных»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BR-6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После пяти неудачных попыток входа учётная запись блокируется на 15 минут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безопасности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BR-7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 сотрудников банка выполняется с двухфакторной аутентификацией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безопасности банка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1.6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000"/>
        <w:gridCol w:w="3900"/>
        <w:gridCol w:w="1850"/>
        <w:gridCol w:w="2600"/>
      </w:tblGrid>
      <w:tr>
        <w:trPr>
          <w:cantSplit/>
          <w:tblHeader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BR-8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Счёт можно закрыть при нулевом остатке и отсутствии связанных с ним резервов, карт, вкладов, кредитов и автоплатежей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Внутренний регламент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BR-9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Суточный лимит переводов клиентам банка составляет 5 000 BYN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Тарифы и лимиты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BR-10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Перевод клиенту банка на сумму от 100 BYN, перевод в другой банк и подписание кредитного договора подтверждаются одноразовым кодом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безопасности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BR-11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Перевод между своими счетами выполняется без комиссии; комиссия за межбанковский перевод составляет 0,5 % суммы, но не менее 0,50 BYN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Факт,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Тарифы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BR-12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Курсы покупки и продажи валюты рассчитываются от официального курса Национального банка с учётом спреда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Факт,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Курсы Национального банка, тарифы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BR-13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Долговая нагрузка заёмщика не должна превышать 40 %, заявка с большей нагрузкой отклоняется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Инструкция о порядке предоставления денежных средств в форме кредита и их возврата (погашения)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BR-14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Заявка одобряется автоматически при вероятности дефолта не выше 8 % и сумме не выше 5 000 BYN; при вероятности не выше 30 % направляется кредитному специалисту; иначе отклоняется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Кредитная политика банка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1.6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000"/>
        <w:gridCol w:w="3900"/>
        <w:gridCol w:w="1850"/>
        <w:gridCol w:w="2600"/>
      </w:tblGrid>
      <w:tr>
        <w:trPr>
          <w:cantSplit/>
          <w:tblHeader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BR-15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 каждый день просрочки начисляется пеня 0,1 % от суммы просроченного платежа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Факт,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Кредитный договор, тарифы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BR-16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Отзывный вклад можно закрыть досрочно с пересчётом процентов по ставке до востребования, безотзывный вклад досрочно закрыть нельзя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Условия банковского продукта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BR-17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Перевод с оценкой риска от 30 баллов подтверждается кодом, от 60 баллов задерживается, а сумма резервируется до решения специалиста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банка по противодействию мошенничеству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BR-18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Операции на сумму от 20 000 BYN относятся к операциям особого контроля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Закон «О мерах по предотвращению легализации доходов…»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BR-19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Закрытие операционного дня выполняется в одной транзакции и завершается проверкой равенства дебетовых и кредитовых оборотов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Регламент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BR-20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Резервные копии базы данных создаются автоматически не реже одного раза в сутки, шифруются, хранятся последние 14 копий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безопасности банка</w:t>
            </w:r>
          </w:p>
        </w:tc>
      </w:tr>
    </w:tbl>
    <w:p>
      <w:pPr>
        <w:ind w:firstLine="709"/>
        <w:contextualSpacing/>
        <w:jc w:val="both"/>
      </w:pPr>
    </w:p>
    <w:p>
      <w:pPr>
        <w:ind w:firstLine="709"/>
        <w:contextualSpacing/>
        <w:jc w:val="both"/>
      </w:pPr>
      <w:r>
        <w:t>Динамические правила хранятся в настройках системы, администратор изменяет их без изменения программы.</w:t>
      </w:r>
    </w:p>
    <w:p>
      <w:pPr>
        <w:ind w:firstLine="709"/>
        <w:contextualSpacing/>
        <w:jc w:val="both"/>
      </w:pPr>
      <w:r>
        <w:t>Профили заинтересованных лиц. Заинтересованными лицами являются все, на кого влияет разработка или эксплуатация программного средства. Их профили приведены в таблице 1.7.</w:t>
      </w:r>
    </w:p>
    <w:p>
      <w:pPr>
        <w:keepNext/>
        <w:ind w:left="1701" w:hanging="1701"/>
        <w:contextualSpacing/>
        <w:jc w:val="both"/>
      </w:pPr>
      <w:r>
        <w:t>Таблица 1.7 – Профили заинтересованных лиц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900"/>
        <w:gridCol w:w="2300"/>
        <w:gridCol w:w="2900"/>
        <w:gridCol w:w="2250"/>
      </w:tblGrid>
      <w:tr>
        <w:trPr>
          <w:cantSplit/>
          <w:tblHeader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Заинтересованное лицо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Основная ценность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Основные интересы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Ограничения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банка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Удобный и безопасный доступ к банковским услугам без визита в отделение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Скорость и простота операций, сохранность денег и данных, понятные условия и причины решений банка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Операции доступны после проверки анкеты, действуют лимиты, расходные операции подтверждаются кодом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Операционист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Сокращение ручной работы при подключении клиентов и обслуживании счетов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Быстрая проверка анкет, касса, регистрация входящих платежей, блокировка счетов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Доступ только к функциям своего рабочего места, просмотр персональных данных записывается в журнал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Кредитный специалист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Обоснованные решения по кредитным заявкам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Видеть расчёт долговой нагрузки и вклад факторов скоринга, рассматривать только спорные заявки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Рассматривает заявки только в статусе «на рассмотрении», отказ требует указания причины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Специалист по финансовому мониторингу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Выявление и пресечение подозрительных операций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Очередь задержанных переводов с причинами срабатывания правил, отчёт по операциям особого контроля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Может одобрить или отклонить перевод, изменять правила контроля не может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Руководство банка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Снижение затрат и рисков, рост числа клиентов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Отчёты по оборотам и остаткам, кредитному портфелю, вкладам, доходам и расходам; достоверность учёта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Деятельность банка должна соответствовать законодательству и требованиям Национального банка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1.7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900"/>
        <w:gridCol w:w="2300"/>
        <w:gridCol w:w="2900"/>
        <w:gridCol w:w="2250"/>
      </w:tblGrid>
      <w:tr>
        <w:trPr>
          <w:cantSplit/>
          <w:tblHeader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Заинтересованное лицо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Основная ценность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Основные интересы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Ограничения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Администратор системы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Бесперебойная и безопасная работа программного средства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Управление курсами, тарифами и пользователями, журнал аудита, резервные копии, закрытие операционного дня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 с двухфакторной защитой, журнал действий неизменяем, ключ шифрования хранится отдельно от базы данных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Национальный банк (регулятор)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Соблюдение банковского законодательства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Идентификация клиентов, ограничение долговой нагрузки, контроль операций, защита персональных данных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Требования законов и инструкций, перечисленных в подразделе 1.1</w:t>
            </w:r>
          </w:p>
        </w:tc>
      </w:tr>
    </w:tbl>
    <w:p>
      <w:pPr>
        <w:ind w:firstLine="709"/>
        <w:contextualSpacing/>
        <w:jc w:val="both"/>
      </w:pPr>
    </w:p>
    <w:p>
      <w:pPr>
        <w:ind w:firstLine="709"/>
        <w:contextualSpacing/>
        <w:jc w:val="both"/>
      </w:pPr>
      <w:r>
        <w:t>Информация из профилей показывает, какие требования предъявляют к системе разные участники, и используется при определении ролей и прав доступа.</w:t>
      </w:r>
    </w:p>
    <w:p>
      <w:pPr>
        <w:ind w:firstLine="709"/>
        <w:contextualSpacing/>
        <w:jc w:val="both"/>
      </w:pPr>
      <w:r>
        <w:rPr>
          <w:highlight w:val="yellow"/>
        </w:rPr>
        <w:t>[Вставить в 1.3 после абзаца «Вариант использования «Авторизоваться» связан с обобщённым актёром…» и перед абзацем «Спецификация функциональных требований приведена в таблице…». Номер таблицы спецификации требований станет 1.20. Эту строку удалить.]</w:t>
      </w:r>
    </w:p>
    <w:p>
      <w:pPr>
        <w:ind w:firstLine="709"/>
        <w:contextualSpacing/>
        <w:jc w:val="both"/>
      </w:pPr>
      <w:r>
        <w:t>Описание вариантов использования. Основные варианты использования, реализующие требования ФТ-1 – ФТ-14, описаны по единому шаблону в таблицах 1.8 – 1.19. Остальные варианты использования (просмотр выписки, шаблоны платежей, управление картами и другие) выполняются по аналогичным схемам и отдельно не описываются. В описании потоков использованы значения порогов и лимитов по умолчанию, администратор может изменить их в разделе настроек.</w:t>
      </w:r>
    </w:p>
    <w:p>
      <w:pPr>
        <w:keepNext/>
        <w:ind w:left="1701" w:hanging="1701"/>
        <w:contextualSpacing/>
        <w:jc w:val="both"/>
      </w:pPr>
      <w:r>
        <w:t>Таблица 1.8 – Вариант использования UC-1 «Подключение клиента»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Гость, операционист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Гость подаёт анкету на подключение к дистанционному обслуживанию, операционист проверяет её, после чего клиент получает доступ к услугам банка и первый текущий счёт в белорусских рублях.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1.8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ФТ-1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Гость открыл страницу подачи анкеты. Ему не менее 18 лет, анкета с его идентификационным номером ранее не подавалась.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Гость заполняет анкету: фамилию, имя, отчество, дату рождения, телефон, электронную почту, идентификационный номер, номер паспорта, логин и пароль.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Система проверяет обязательность и формат полей, возраст, уникальность логина и идентификационного номера.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Система шифрует паспортные данные и идентификационный номер, вычисляет хэш пароля, создаёт учётную запись клиента и анкету в статусе «подана».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Операционист открывает очередь анкет и просматривает анкету; факт просмотра записывается в журнал.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5. Операционист подтверждает анкету.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6. Система присваивает анкете статус «подтверждена», открывает клиенту текущий счёт в BYN и отправляет уведомление.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2а. Данные не прошли проверку: система показывает сообщения возле полей, анкета не создаётся.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5а. Операционист отклоняет анкету и указывает причину: система отправляет причину клиенту, операции с деньгами остаются недоступными.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Анкета подтверждена, клиенту открыт текущий счёт в BYN, либо анкета отклонена и клиент уведомлён о причине.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1.9 – Вариант использования UC-2 «Вход в систему»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Клиент, операционист, кредитный специалист, специалист по финансовому мониторингу, администратор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Пользователь входит в систему по логину и паролю, при включённой двухфакторной защите вход подтверждается кодом приложения-аутентификатора.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1.9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ФТ-2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У пользователя есть учётная запись, она не заблокирована.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Пользователь вводит логин и пароль.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Система проверяет пароль по хэш-значению.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Если включена двухфакторная защита, система запрашивает шестизначный код приложения-аутентификатора или резервный код и проверяет его.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Система создаёт сеанс, записывает вход в журнал аудита и открывает рабочее место, соответствующее роли пользователя.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2а. Логин или пароль неверны: система показывает одинаковое сообщение в обоих случаях и увеличивает счётчик неудач. После пяти неудач вход блокируется на 15 минут.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3а. Сотрудник входит впервые: система требует настроить двухфакторную защиту, показывает QR-код и резервные коды.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Сеанс создан, вход записан в журнал, либо вход отклонён.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1.10 – Вариант использования UC-3 «Открытие и закрытие счёта»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открывает дополнительный текущий или сберегательный счёт в выбранной валюте либо закрывает ненужный счёт.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ФТ-3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вошёл в систему, его анкета подтверждена.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Клиент выбирает действие «Открыть счёт», вид счёта и валюту.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Система проверяет допустимость вида счёта и валюты.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Система формирует номер счёта в формате IBAN: код страны, контрольные цифры по остатку от деления на 97, код банка, балансовый счёт и номер.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Система создаёт счёт в статусе «действует», записывает действие в журнал и показывает реквизиты нового счёта.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1.10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1а. Клиент закрывает счёт. Система проверяет, что остаток равен нулю, нет зарезервированных сумм, действующих карт, вкладов, кредитов и автоплатежей, связанных со счётом, и переводит счёт в статус «закрыт».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1б. Условия закрытия не выполнены: система показывает причину, счёт остаётся действующим.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Счёт открыт и доступен для операций либо закрыт.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1.11 – Вариант использования UC-4 «Перевод клиенту банка»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Клиент, специалист по финансовому мониторингу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переводит деньги на счёт другого клиента банка по номеру IBAN. Перевод проверяется по правилам контроля и при необходимости подтверждается одноразовым кодом.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ФТ-4, ФТ-5, ФТ-13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вошёл в систему, его анкета подтверждена, на счёте списания достаточно средств для перевода и комиссии.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Клиент выбирает счёт списания, вводит IBAN получателя, сумму и комментарий.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Система проверяет контрольные цифры IBAN, существование счёта получателя, принадлежность счёта списания клиенту и суточный лимит переводов.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Система рассчитывает комиссию и оценивает риск перевода по правилам контроля.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Если сумма не меньше порога подтверждения или правила контроля этого требуют, система отправляет одноразовый код на электронную почту клиента.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5. Клиент вводит код.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6. Система проверяет код и в одной транзакции базы данных проводит перевод. Если валюты счетов различаются, выполняется конвертация, комиссия отражается отдельной проводкой.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7. Система уведомляет клиента и показывает квитанцию.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1.11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2а. IBAN указан неверно, счёт получателя не найден, средств недостаточно или превышен лимит: система отклоняет операцию и называет причину.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3а. Риск перевода высокий: система резервирует сумму, перевод получает статус «на проверке», дальнейшие действия описаны в UC-11.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5а. Код неверен: система сообщает об ошибке, перевод не проводится. Если срок действия кода истёк, заявка получает статус «истёк срок».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Перевод проведён и отражён в выписках обоих счетов, либо отклонён, либо задержан для проверки.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1.12 – Вариант использования UC-5 «Оплата услуг по каталогу»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оплачивает услугу выбранного поставщика со своего счёта и получает квитанцию.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ФТ-6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вошёл в систему, его анкета подтверждена, на счёте достаточно средств.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Клиент выбирает категорию и поставщика услуги в каталоге.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Клиент вводит реквизит платежа (например, номер лицевого счёта) и сумму.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Система проверяет реквизит по формату поставщика, допустимые границы суммы и достаточность средств.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Система рассчитывает комиссию и проводит платёж.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5. Система формирует квитанцию в формате PDF и уведомляет клиента.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6. Клиент может сохранить платёж как шаблон или настроить по нему автоплатёж.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3а. Реквизит не соответствует формату, сумма вне границ или средств недостаточно: система показывает причину, платёж не выполняется.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6а. Автоплатёж исполняется системой при закрытии операционного дня (UC-12).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Платёж выполнен, квитанция сформирована, либо платёж отклонён.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1.13 – Вариант использования UC-6 «Оформление вклада»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открывает срочный вклад на выбранных условиях. Проценты начисляются при закрытии операционных дней.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ФТ-8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вошёл в систему, его анкета подтверждена, у него есть счёт в валюте вклада с достаточной суммой.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Клиент выбирает вклад в каталоге; калькулятор показывает ожидаемый доход по введённой сумме.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Клиент указывает сумму и счёт списания.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Система проверяет минимальную сумму вклада, совпадение валюты счёта и вклада, достаточность средств.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Система открывает вкладной счёт, проводит сумму вклада со счёта списания, определяет дату окончания по сроку вклада.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5. Система уведомляет клиента и показывает вклад в списке договоров.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3а. Сумма меньше минимальной, валюта счёта не совпадает с валютой вклада или средств недостаточно: система отклоняет операцию и называет причину.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5а. По окончании срока вклад закрывается при закрытии операционного дня, сумма и проценты возвращаются на счёт клиента.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Вкладной счёт открыт, вклад отражён в списке договоров клиента.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1.14 – Вариант использования UC-7 «Досрочное закрытие вклада»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расторгает отзывный вклад до окончания срока, проценты пересчитываются по ставке до востребования.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ФТ-8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вошёл в систему, у него есть действующий отзывный вклад.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1.14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Клиент выбирает вклад и действие «Закрыть досрочно».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Система рассчитывает проценты по ставке до востребования за фактический срок и сравнивает их с уже выплаченными.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Система показывает сумму к выплате.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Клиент подтверждает расторжение.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5. Система проводками доначисляет или удерживает разницу процентов, возвращает остаток на счёт возврата, закрывает вкладной счёт и присваивает вкладу статус «закрыт досрочно».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1а. Вклад безотзывный: система сообщает, что досрочно закрыть его нельзя.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4а. Клиент отказывается от расторжения: вклад остаётся действующим.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Вклад закрыт, деньги зачислены на счёт клиента, либо вклад остался без изменений.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1.15 – Вариант использования UC-8 «Подача заявки на кредит»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подаёт заявку на потребительский кредит. Система рассчитывает долговую нагрузку и вероятность дефолта и принимает решение либо передаёт заявку кредитному специалисту.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ФТ-9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вошёл в систему, его анкета подтверждена, у него есть счёт в BYN для зачисления кредита.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1.15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Клиент выбирает кредитный продукт, сумму, срок и вид графика платежей; калькулятор показывает график.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Клиент указывает доход, платежи по другим кредитам, стаж, число иждивенцев и счёт зачисления.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Система проверяет данные, рассчитывает первый платёж и долговую нагрузку.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Система вычисляет вероятность дефолта по модели скоринга.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5. Система принимает решение и сохраняет заявку вместе с результатами расчёта.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6. Система показывает клиенту решение, расчёт долговой нагрузки и вклад факторов скоринга и отправляет уведомление.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3а. Долговая нагрузка выше 40 %: заявка получает статус «отказано» с указанием причины.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5а. Вероятность дефолта не выше 8 % и сумма не выше лимита автоодобрения: заявка получает статус «одобрена».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5б. Вероятность дефолта от 8 до 30 % либо сумма выше лимита автоодобрения: заявка получает статус «на рассмотрении» и попадает в очередь кредитного специалиста (UC-10).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5в. Вероятность дефолта выше 30 %: заявка получает статус «отказано».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Заявка сохранена с одним из статусов: «одобрена», «на рассмотрении» или «отказано». Клиент уведомлён.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1.16 – Вариант использования UC-9 «Подписание договора и получение кредита»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подписывает кредитный договор одноразовым кодом и получает деньги на свой счёт.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ФТ-10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Заявка клиента находится в статусе «одобрена».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1.16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Клиент открывает одобренную заявку, проверяет условия кредита и график платежей.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Клиент запрашивает код подписания, система отправляет одноразовый код на электронную почту.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Клиент вводит код.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Система проверяет код и в одной транзакции открывает ссудный счёт, сохраняет договор и график платежей, проводит выдачу кредита на счёт зачисления.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5. Система присваивает заявке статус «договор подписан», уведомляет клиента и сообщает дату и сумму первого платежа.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1а. Заявка не одобрена (на рассмотрении или отклонена): подписание недоступно.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3а. Код неверен: договор не подписывается, клиент может запросить новый код.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 выдан, деньги зачислены на счёт клиента, график платежей действует.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1.17 – Вариант использования UC-10 «Рассмотрение заявки кредитным специалистом»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Кредитный специалист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Кредитный специалист принимает решение по заявке, которую система не смогла одобрить автоматически.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ФТ-9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Кредитный специалист вошёл в систему с двухфакторной защитой, в очереди есть заявки в статусе «на рассмотрении».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Специалист открывает очередь заявок.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Специалист выбирает заявку и просматривает анкету заёмщика: доход, обязательства, долговую нагрузку, вероятность дефолта и вклад каждого фактора скоринга.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Специалист принимает решение «одобрить».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Система присваивает заявке статус «одобрена», записывает решение в журнал и уведомляет клиента.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3а. Специалист отказывает и обязательно указывает причину. Система присваивает заявке статус «отказано» и сообщает причину клиенту.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1.17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Решение по заявке принято и записано в журнал, клиент уведомлён.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1.18 – Вариант использования UC-11 «Разбор задержанного перевода»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Специалист по финансовому мониторингу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Специалист принимает решение по переводу, который система задержала по правилам контроля: внутри банка или в другой банк.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ФТ-13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Специалист вошёл в систему с двухфакторной защитой, есть переводы в статусе «на проверке».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Специалист открывает очередь задержанных переводов.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Специалист выбирает случай и просматривает сумму, получателя, оценку риска и причины срабатывания правил.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Специалист принимает решение «одобрить» и при необходимости вводит комментарий.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Система проводит перевод (межбанковский перевод ставит в очередь клиринга) и снимает резерв суммы.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5. Система уведомляет клиента и записывает решение в журнал.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3а. Специалист отклоняет перевод: резерв снимается, деньги остаются на счёте клиента, клиент получает уведомление.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Перевод проведён или отклонён, случай закрыт.</w:t>
            </w:r>
          </w:p>
        </w:tc>
      </w:tr>
    </w:tbl>
    <w:p>
      <w:pPr>
        <w:ind w:firstLine="709"/>
        <w:contextualSpacing/>
        <w:jc w:val="both"/>
      </w:pPr>
    </w:p>
    <w:p>
      <w:pPr>
        <w:keepNext/>
        <w:ind w:left="1701" w:hanging="1701"/>
        <w:contextualSpacing/>
        <w:jc w:val="both"/>
      </w:pPr>
      <w:r>
        <w:t>Таблица 1.19 – Вариант использования UC-12 «Закрытие операционного дня»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Действующее лицо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Администратор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Краткое описание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Администратор закрывает операционный день: система выполняет регламентные операции и проверяет сбалансированность учёта.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Связанные требования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ФТ-8, ФТ-11, ФТ-14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Администратор вошёл в систему с двухфакторной защитой, текущий операционный день открыт.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1.19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2700"/>
        <w:gridCol w:w="6650"/>
      </w:tblGrid>
      <w:tr>
        <w:trPr>
          <w:cantSplit/>
          <w:tblHeader/>
        </w:trPr>
        <w:tc>
          <w:tcPr>
            <w:tcW w:type="dxa" w:w="27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Поле</w:t>
            </w:r>
          </w:p>
        </w:tc>
        <w:tc>
          <w:tcPr>
            <w:tcW w:type="dxa" w:w="66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Основной поток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1. Администратор открывает раздел «Опердень» и запускает закрытие дня.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2. Система переводит банковскую дату на следующий день.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3. Система начисляет проценты по вкладам и возвращает вклады, срок которых истёк.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4. Система списывает плановые платежи по кредитам, переносит неоплаченные платежи на просрочку и начисляет пеню.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5. Система исполняет автоплатежи клиентов и создаёт напоминания о предстоящих платежах.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6. Система формирует и отправляет пакет межбанковских платежей.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7. Система проверяет равенство дебетовых и кредитовых оборотов по каждой валюте и показывает результат.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Альтернативные потоки действий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1а. Администратор закрывает несколько дней подряд: шаги 2 – 7 повторяются для каждого дня.</w:t>
            </w:r>
          </w:p>
          <w:p>
            <w:pPr>
              <w:spacing w:line="240" w:lineRule="auto"/>
              <w:contextualSpacing/>
              <w:jc w:val="left"/>
            </w:pPr>
            <w:r>
              <w:rPr>
                <w:sz w:val="28"/>
              </w:rPr>
              <w:t>7а. При сбое операции закрытия дня откатываются, банковская дата не изменяется.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Выходные условия</w:t>
            </w:r>
          </w:p>
        </w:tc>
        <w:tc>
          <w:tcPr>
            <w:tcW w:type="dxa" w:w="66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Банковская дата изменена, начисления и платежи выполнены, учёт сбалансирован.</w:t>
            </w:r>
          </w:p>
        </w:tc>
      </w:tr>
    </w:tbl>
    <w:p>
      <w:pPr>
        <w:ind w:firstLine="709"/>
        <w:contextualSpacing/>
        <w:jc w:val="both"/>
      </w:pPr>
    </w:p>
    <w:sectPr w:rsidR="00E773D7" w:rsidRPr="00947DEB" w:rsidSect="00067E56">
      <w:footerReference w:type="default" r:id="rId90"/>
      <w:pgSz w:w="11906" w:h="16838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D6B0B" w14:textId="77777777" w:rsidR="0057227D" w:rsidRDefault="0057227D" w:rsidP="00CD33C1">
      <w:r>
        <w:separator/>
      </w:r>
    </w:p>
  </w:endnote>
  <w:endnote w:type="continuationSeparator" w:id="0">
    <w:p w14:paraId="09E1FBDB" w14:textId="77777777" w:rsidR="0057227D" w:rsidRDefault="0057227D" w:rsidP="00CD33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ter">
    <w:panose1 w:val="02000503000000020004"/>
    <w:charset w:val="CC"/>
    <w:family w:val="auto"/>
    <w:pitch w:val="variable"/>
    <w:sig w:usb0="E00002FF" w:usb1="1200A1FF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3941113"/>
      <w:docPartObj>
        <w:docPartGallery w:val="Page Numbers (Bottom of Page)"/>
        <w:docPartUnique/>
      </w:docPartObj>
    </w:sdtPr>
    <w:sdtContent>
      <w:p w14:paraId="2C19B916" w14:textId="490F947D" w:rsidR="00CD33C1" w:rsidRDefault="00CD33C1">
        <w:pPr>
          <w:pStyle w:val="ae"/>
          <w:jc w:val="right"/>
        </w:pPr>
        <w:r w:rsidRPr="00803E73">
          <w:fldChar w:fldCharType="begin"/>
        </w:r>
        <w:r w:rsidRPr="00803E73">
          <w:instrText>PAGE   \* MERGEFORMAT</w:instrText>
        </w:r>
        <w:r w:rsidRPr="00803E73">
          <w:fldChar w:fldCharType="separate"/>
        </w:r>
        <w:r w:rsidRPr="00803E73">
          <w:t>2</w:t>
        </w:r>
        <w:r w:rsidRPr="00803E7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7CE4B" w14:textId="77777777" w:rsidR="0057227D" w:rsidRDefault="0057227D" w:rsidP="00CD33C1">
      <w:r>
        <w:separator/>
      </w:r>
    </w:p>
  </w:footnote>
  <w:footnote w:type="continuationSeparator" w:id="0">
    <w:p w14:paraId="758E4C63" w14:textId="77777777" w:rsidR="0057227D" w:rsidRDefault="0057227D" w:rsidP="00CD33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B131A"/>
    <w:multiLevelType w:val="hybridMultilevel"/>
    <w:tmpl w:val="F7DC570A"/>
    <w:lvl w:ilvl="0" w:tplc="9E0EEE6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4502D7"/>
    <w:multiLevelType w:val="multilevel"/>
    <w:tmpl w:val="4838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472AA"/>
    <w:multiLevelType w:val="multilevel"/>
    <w:tmpl w:val="5AF8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B48A2"/>
    <w:multiLevelType w:val="hybridMultilevel"/>
    <w:tmpl w:val="68329BB6"/>
    <w:lvl w:ilvl="0" w:tplc="30C8CA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C3A80"/>
    <w:multiLevelType w:val="multilevel"/>
    <w:tmpl w:val="FD10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C5E0F"/>
    <w:multiLevelType w:val="hybridMultilevel"/>
    <w:tmpl w:val="3BD00564"/>
    <w:lvl w:ilvl="0" w:tplc="30C8CA7A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23495D"/>
    <w:multiLevelType w:val="multilevel"/>
    <w:tmpl w:val="55040E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0404B"/>
    <w:multiLevelType w:val="multilevel"/>
    <w:tmpl w:val="9FAA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E1AE1"/>
    <w:multiLevelType w:val="multilevel"/>
    <w:tmpl w:val="A632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702D1A"/>
    <w:multiLevelType w:val="multilevel"/>
    <w:tmpl w:val="07209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D63AB9"/>
    <w:multiLevelType w:val="hybridMultilevel"/>
    <w:tmpl w:val="1838808A"/>
    <w:lvl w:ilvl="0" w:tplc="30C8C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D67877"/>
    <w:multiLevelType w:val="multilevel"/>
    <w:tmpl w:val="DD34C0C8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4415E3"/>
    <w:multiLevelType w:val="multilevel"/>
    <w:tmpl w:val="D1AEBB5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3B18D8"/>
    <w:multiLevelType w:val="multilevel"/>
    <w:tmpl w:val="75AA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24189"/>
    <w:multiLevelType w:val="multilevel"/>
    <w:tmpl w:val="E1C84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3B76F0"/>
    <w:multiLevelType w:val="multilevel"/>
    <w:tmpl w:val="0A0008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1363E1"/>
    <w:multiLevelType w:val="multilevel"/>
    <w:tmpl w:val="16D089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483F9F"/>
    <w:multiLevelType w:val="multilevel"/>
    <w:tmpl w:val="E5CC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093874"/>
    <w:multiLevelType w:val="multilevel"/>
    <w:tmpl w:val="048A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942BF"/>
    <w:multiLevelType w:val="multilevel"/>
    <w:tmpl w:val="B14A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F7664"/>
    <w:multiLevelType w:val="multilevel"/>
    <w:tmpl w:val="7106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500DC0"/>
    <w:multiLevelType w:val="multilevel"/>
    <w:tmpl w:val="4392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606541"/>
    <w:multiLevelType w:val="multilevel"/>
    <w:tmpl w:val="8B7A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7A230B"/>
    <w:multiLevelType w:val="multilevel"/>
    <w:tmpl w:val="152A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204755"/>
    <w:multiLevelType w:val="multilevel"/>
    <w:tmpl w:val="B7F4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C71DD1"/>
    <w:multiLevelType w:val="multilevel"/>
    <w:tmpl w:val="063E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F0D90"/>
    <w:multiLevelType w:val="multilevel"/>
    <w:tmpl w:val="1868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26A68"/>
    <w:multiLevelType w:val="multilevel"/>
    <w:tmpl w:val="B11C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574134"/>
    <w:multiLevelType w:val="hybridMultilevel"/>
    <w:tmpl w:val="4FBAF52C"/>
    <w:lvl w:ilvl="0" w:tplc="30C8C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16C1A7C"/>
    <w:multiLevelType w:val="multilevel"/>
    <w:tmpl w:val="61FC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40317A"/>
    <w:multiLevelType w:val="multilevel"/>
    <w:tmpl w:val="9894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F6678C"/>
    <w:multiLevelType w:val="multilevel"/>
    <w:tmpl w:val="A4D02F1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7094514">
    <w:abstractNumId w:val="5"/>
  </w:num>
  <w:num w:numId="2" w16cid:durableId="1485585448">
    <w:abstractNumId w:val="3"/>
  </w:num>
  <w:num w:numId="3" w16cid:durableId="1017587002">
    <w:abstractNumId w:val="28"/>
  </w:num>
  <w:num w:numId="4" w16cid:durableId="221839657">
    <w:abstractNumId w:val="10"/>
  </w:num>
  <w:num w:numId="5" w16cid:durableId="645088867">
    <w:abstractNumId w:val="15"/>
  </w:num>
  <w:num w:numId="6" w16cid:durableId="772167379">
    <w:abstractNumId w:val="6"/>
  </w:num>
  <w:num w:numId="7" w16cid:durableId="1568029225">
    <w:abstractNumId w:val="12"/>
  </w:num>
  <w:num w:numId="8" w16cid:durableId="592519925">
    <w:abstractNumId w:val="31"/>
  </w:num>
  <w:num w:numId="9" w16cid:durableId="1391733273">
    <w:abstractNumId w:val="27"/>
  </w:num>
  <w:num w:numId="10" w16cid:durableId="1853564124">
    <w:abstractNumId w:val="14"/>
  </w:num>
  <w:num w:numId="11" w16cid:durableId="956565616">
    <w:abstractNumId w:val="16"/>
  </w:num>
  <w:num w:numId="12" w16cid:durableId="1130634127">
    <w:abstractNumId w:val="0"/>
  </w:num>
  <w:num w:numId="13" w16cid:durableId="206573949">
    <w:abstractNumId w:val="9"/>
  </w:num>
  <w:num w:numId="14" w16cid:durableId="1588417803">
    <w:abstractNumId w:val="7"/>
  </w:num>
  <w:num w:numId="15" w16cid:durableId="886528059">
    <w:abstractNumId w:val="17"/>
  </w:num>
  <w:num w:numId="16" w16cid:durableId="2145534947">
    <w:abstractNumId w:val="25"/>
  </w:num>
  <w:num w:numId="17" w16cid:durableId="584806585">
    <w:abstractNumId w:val="23"/>
  </w:num>
  <w:num w:numId="18" w16cid:durableId="2012489756">
    <w:abstractNumId w:val="20"/>
  </w:num>
  <w:num w:numId="19" w16cid:durableId="1340346924">
    <w:abstractNumId w:val="18"/>
  </w:num>
  <w:num w:numId="20" w16cid:durableId="1056197892">
    <w:abstractNumId w:val="19"/>
  </w:num>
  <w:num w:numId="21" w16cid:durableId="1942184232">
    <w:abstractNumId w:val="24"/>
  </w:num>
  <w:num w:numId="22" w16cid:durableId="1973562194">
    <w:abstractNumId w:val="21"/>
  </w:num>
  <w:num w:numId="23" w16cid:durableId="649288378">
    <w:abstractNumId w:val="29"/>
  </w:num>
  <w:num w:numId="24" w16cid:durableId="79527187">
    <w:abstractNumId w:val="8"/>
  </w:num>
  <w:num w:numId="25" w16cid:durableId="627931325">
    <w:abstractNumId w:val="30"/>
  </w:num>
  <w:num w:numId="26" w16cid:durableId="1521967452">
    <w:abstractNumId w:val="4"/>
  </w:num>
  <w:num w:numId="27" w16cid:durableId="1150557209">
    <w:abstractNumId w:val="1"/>
  </w:num>
  <w:num w:numId="28" w16cid:durableId="249584486">
    <w:abstractNumId w:val="2"/>
  </w:num>
  <w:num w:numId="29" w16cid:durableId="867719241">
    <w:abstractNumId w:val="22"/>
  </w:num>
  <w:num w:numId="30" w16cid:durableId="1991473513">
    <w:abstractNumId w:val="26"/>
  </w:num>
  <w:num w:numId="31" w16cid:durableId="1327246599">
    <w:abstractNumId w:val="13"/>
  </w:num>
  <w:num w:numId="32" w16cid:durableId="856234306">
    <w:abstractNumId w:val="11"/>
  </w:num>
  <w:num w:numId="901">
    <w:abstractNumId w:val="12"/>
    <w:lvlOverride w:ilvl="0">
      <w:startOverride w:val="1"/>
    </w:lvlOverride>
  </w:num>
  <w:num w:numId="902">
    <w:abstractNumId w:val="11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F09"/>
    <w:rsid w:val="00014F16"/>
    <w:rsid w:val="0001648B"/>
    <w:rsid w:val="000164E7"/>
    <w:rsid w:val="00025531"/>
    <w:rsid w:val="00037191"/>
    <w:rsid w:val="00044D57"/>
    <w:rsid w:val="00044F95"/>
    <w:rsid w:val="00057D1F"/>
    <w:rsid w:val="00067E56"/>
    <w:rsid w:val="000A2621"/>
    <w:rsid w:val="000A5F68"/>
    <w:rsid w:val="000B292D"/>
    <w:rsid w:val="000B4A98"/>
    <w:rsid w:val="000D05DB"/>
    <w:rsid w:val="000F2C09"/>
    <w:rsid w:val="00103C23"/>
    <w:rsid w:val="00103E76"/>
    <w:rsid w:val="001072CC"/>
    <w:rsid w:val="00141847"/>
    <w:rsid w:val="00141A5C"/>
    <w:rsid w:val="00141A66"/>
    <w:rsid w:val="00144AE7"/>
    <w:rsid w:val="0014722D"/>
    <w:rsid w:val="00150440"/>
    <w:rsid w:val="00153027"/>
    <w:rsid w:val="00157C70"/>
    <w:rsid w:val="0016268F"/>
    <w:rsid w:val="00172E14"/>
    <w:rsid w:val="001819BF"/>
    <w:rsid w:val="00190705"/>
    <w:rsid w:val="001B4B98"/>
    <w:rsid w:val="001D012D"/>
    <w:rsid w:val="001F1CCC"/>
    <w:rsid w:val="002072A5"/>
    <w:rsid w:val="00217E7E"/>
    <w:rsid w:val="002273E4"/>
    <w:rsid w:val="002671AB"/>
    <w:rsid w:val="002962C6"/>
    <w:rsid w:val="002A084B"/>
    <w:rsid w:val="002A2D50"/>
    <w:rsid w:val="002C3918"/>
    <w:rsid w:val="002C56A8"/>
    <w:rsid w:val="002C7DE7"/>
    <w:rsid w:val="002E0564"/>
    <w:rsid w:val="0030635B"/>
    <w:rsid w:val="00311E6F"/>
    <w:rsid w:val="00330EE1"/>
    <w:rsid w:val="00337100"/>
    <w:rsid w:val="003435A4"/>
    <w:rsid w:val="003627F7"/>
    <w:rsid w:val="00397E78"/>
    <w:rsid w:val="003A109A"/>
    <w:rsid w:val="003A3A9D"/>
    <w:rsid w:val="003A4670"/>
    <w:rsid w:val="00404F0F"/>
    <w:rsid w:val="00436032"/>
    <w:rsid w:val="00457473"/>
    <w:rsid w:val="00457FA8"/>
    <w:rsid w:val="004755CC"/>
    <w:rsid w:val="00475B25"/>
    <w:rsid w:val="004817CC"/>
    <w:rsid w:val="00492C9E"/>
    <w:rsid w:val="00494F88"/>
    <w:rsid w:val="004971D2"/>
    <w:rsid w:val="004A236C"/>
    <w:rsid w:val="004A2C59"/>
    <w:rsid w:val="004A5C10"/>
    <w:rsid w:val="004C0A2C"/>
    <w:rsid w:val="004C30E1"/>
    <w:rsid w:val="004C6D81"/>
    <w:rsid w:val="004F2C20"/>
    <w:rsid w:val="004F34AD"/>
    <w:rsid w:val="005020C0"/>
    <w:rsid w:val="00502F51"/>
    <w:rsid w:val="0051140A"/>
    <w:rsid w:val="00515EB1"/>
    <w:rsid w:val="005234F1"/>
    <w:rsid w:val="0053229D"/>
    <w:rsid w:val="00535076"/>
    <w:rsid w:val="00541C0E"/>
    <w:rsid w:val="00550AAC"/>
    <w:rsid w:val="00555667"/>
    <w:rsid w:val="005645D4"/>
    <w:rsid w:val="00564B45"/>
    <w:rsid w:val="0057227D"/>
    <w:rsid w:val="005A1870"/>
    <w:rsid w:val="005A1992"/>
    <w:rsid w:val="005B5202"/>
    <w:rsid w:val="005D0C41"/>
    <w:rsid w:val="005D69F2"/>
    <w:rsid w:val="005F1E0D"/>
    <w:rsid w:val="0061616B"/>
    <w:rsid w:val="00656797"/>
    <w:rsid w:val="006760ED"/>
    <w:rsid w:val="0068486F"/>
    <w:rsid w:val="0068735B"/>
    <w:rsid w:val="006917B6"/>
    <w:rsid w:val="0069690E"/>
    <w:rsid w:val="006F3A81"/>
    <w:rsid w:val="00715CE2"/>
    <w:rsid w:val="00716A01"/>
    <w:rsid w:val="00720A86"/>
    <w:rsid w:val="00725278"/>
    <w:rsid w:val="00726ECF"/>
    <w:rsid w:val="0073187D"/>
    <w:rsid w:val="007403F0"/>
    <w:rsid w:val="00764E7B"/>
    <w:rsid w:val="00767359"/>
    <w:rsid w:val="00772358"/>
    <w:rsid w:val="007758BF"/>
    <w:rsid w:val="007A063C"/>
    <w:rsid w:val="007A15FA"/>
    <w:rsid w:val="007A6E3D"/>
    <w:rsid w:val="007B2890"/>
    <w:rsid w:val="007C32E9"/>
    <w:rsid w:val="007F3ADD"/>
    <w:rsid w:val="008002EF"/>
    <w:rsid w:val="00803E73"/>
    <w:rsid w:val="00805817"/>
    <w:rsid w:val="00805942"/>
    <w:rsid w:val="008107EE"/>
    <w:rsid w:val="0081454B"/>
    <w:rsid w:val="00816B7E"/>
    <w:rsid w:val="00820FC7"/>
    <w:rsid w:val="00822FE1"/>
    <w:rsid w:val="00852659"/>
    <w:rsid w:val="00852EC1"/>
    <w:rsid w:val="00862ADE"/>
    <w:rsid w:val="0086733E"/>
    <w:rsid w:val="00870C9F"/>
    <w:rsid w:val="00893B3A"/>
    <w:rsid w:val="008955BB"/>
    <w:rsid w:val="008A2951"/>
    <w:rsid w:val="008C5661"/>
    <w:rsid w:val="008C7C62"/>
    <w:rsid w:val="008E1215"/>
    <w:rsid w:val="00907116"/>
    <w:rsid w:val="00920845"/>
    <w:rsid w:val="00934F22"/>
    <w:rsid w:val="00947DEB"/>
    <w:rsid w:val="00950610"/>
    <w:rsid w:val="00982FE3"/>
    <w:rsid w:val="009904F0"/>
    <w:rsid w:val="00994AA8"/>
    <w:rsid w:val="00996B50"/>
    <w:rsid w:val="009A7E02"/>
    <w:rsid w:val="009B1DCF"/>
    <w:rsid w:val="009C22C7"/>
    <w:rsid w:val="009C79FD"/>
    <w:rsid w:val="009F123D"/>
    <w:rsid w:val="009F1545"/>
    <w:rsid w:val="009F66C4"/>
    <w:rsid w:val="00A023BB"/>
    <w:rsid w:val="00A02894"/>
    <w:rsid w:val="00A03E9C"/>
    <w:rsid w:val="00A06298"/>
    <w:rsid w:val="00A16E74"/>
    <w:rsid w:val="00A22798"/>
    <w:rsid w:val="00A24FCA"/>
    <w:rsid w:val="00A25437"/>
    <w:rsid w:val="00A256F9"/>
    <w:rsid w:val="00A31768"/>
    <w:rsid w:val="00A41189"/>
    <w:rsid w:val="00A52C87"/>
    <w:rsid w:val="00A56695"/>
    <w:rsid w:val="00A56F89"/>
    <w:rsid w:val="00AA5CFF"/>
    <w:rsid w:val="00AB2ECE"/>
    <w:rsid w:val="00AC018C"/>
    <w:rsid w:val="00AD07BE"/>
    <w:rsid w:val="00AE0F09"/>
    <w:rsid w:val="00AF6485"/>
    <w:rsid w:val="00B01D18"/>
    <w:rsid w:val="00B1751C"/>
    <w:rsid w:val="00B43EA4"/>
    <w:rsid w:val="00B44C9C"/>
    <w:rsid w:val="00B56980"/>
    <w:rsid w:val="00B641F4"/>
    <w:rsid w:val="00B727A6"/>
    <w:rsid w:val="00B863B2"/>
    <w:rsid w:val="00B978A7"/>
    <w:rsid w:val="00BB04B6"/>
    <w:rsid w:val="00BC3925"/>
    <w:rsid w:val="00BC7B44"/>
    <w:rsid w:val="00C00554"/>
    <w:rsid w:val="00C14A37"/>
    <w:rsid w:val="00C14E5F"/>
    <w:rsid w:val="00C30471"/>
    <w:rsid w:val="00C4591F"/>
    <w:rsid w:val="00C63FB5"/>
    <w:rsid w:val="00C64504"/>
    <w:rsid w:val="00C84357"/>
    <w:rsid w:val="00C916B8"/>
    <w:rsid w:val="00CA5FBC"/>
    <w:rsid w:val="00CB20D6"/>
    <w:rsid w:val="00CD33C1"/>
    <w:rsid w:val="00CE14CB"/>
    <w:rsid w:val="00CE14D1"/>
    <w:rsid w:val="00CE1DCB"/>
    <w:rsid w:val="00CE3843"/>
    <w:rsid w:val="00CF6427"/>
    <w:rsid w:val="00D16C9E"/>
    <w:rsid w:val="00D20031"/>
    <w:rsid w:val="00D26D8E"/>
    <w:rsid w:val="00D45757"/>
    <w:rsid w:val="00D47EA6"/>
    <w:rsid w:val="00D50797"/>
    <w:rsid w:val="00D62C20"/>
    <w:rsid w:val="00D65A19"/>
    <w:rsid w:val="00D7499A"/>
    <w:rsid w:val="00D84A40"/>
    <w:rsid w:val="00D87F57"/>
    <w:rsid w:val="00D906DB"/>
    <w:rsid w:val="00D97932"/>
    <w:rsid w:val="00DA0825"/>
    <w:rsid w:val="00DA0BD0"/>
    <w:rsid w:val="00DC3948"/>
    <w:rsid w:val="00DC64AA"/>
    <w:rsid w:val="00DF6149"/>
    <w:rsid w:val="00DF62D0"/>
    <w:rsid w:val="00E01AD0"/>
    <w:rsid w:val="00E10A8D"/>
    <w:rsid w:val="00E15F25"/>
    <w:rsid w:val="00E1753E"/>
    <w:rsid w:val="00E22184"/>
    <w:rsid w:val="00E22953"/>
    <w:rsid w:val="00E22DA5"/>
    <w:rsid w:val="00E23DCF"/>
    <w:rsid w:val="00E25C05"/>
    <w:rsid w:val="00E517A6"/>
    <w:rsid w:val="00E53D47"/>
    <w:rsid w:val="00E61538"/>
    <w:rsid w:val="00E6758A"/>
    <w:rsid w:val="00E7493E"/>
    <w:rsid w:val="00E751AD"/>
    <w:rsid w:val="00E773D7"/>
    <w:rsid w:val="00EA26E2"/>
    <w:rsid w:val="00EA28BD"/>
    <w:rsid w:val="00EB16C0"/>
    <w:rsid w:val="00EC318A"/>
    <w:rsid w:val="00EC7848"/>
    <w:rsid w:val="00EF1266"/>
    <w:rsid w:val="00F07974"/>
    <w:rsid w:val="00F11BC7"/>
    <w:rsid w:val="00F122BB"/>
    <w:rsid w:val="00F324F7"/>
    <w:rsid w:val="00F60258"/>
    <w:rsid w:val="00F74BA8"/>
    <w:rsid w:val="00F75618"/>
    <w:rsid w:val="00F77705"/>
    <w:rsid w:val="00F77CAC"/>
    <w:rsid w:val="00F838FD"/>
    <w:rsid w:val="00FB2496"/>
    <w:rsid w:val="00FD0B9F"/>
    <w:rsid w:val="00FE313D"/>
    <w:rsid w:val="00FE4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015DEC"/>
  <w15:chartTrackingRefBased/>
  <w15:docId w15:val="{B2C4FA1D-1236-48AA-BE30-7C622E53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5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6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5"/>
    <w:qFormat/>
    <w:rsid w:val="006760ED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773D7"/>
    <w:pPr>
      <w:keepNext/>
      <w:keepLines/>
      <w:ind w:left="993" w:hanging="284"/>
      <w:outlineLvl w:val="0"/>
    </w:pPr>
    <w:rPr>
      <w:rFonts w:eastAsiaTheme="majorEastAsia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44D57"/>
    <w:pPr>
      <w:keepNext/>
      <w:keepLines/>
      <w:ind w:left="1129" w:hanging="420"/>
      <w:contextualSpacing/>
      <w:outlineLvl w:val="1"/>
    </w:pPr>
    <w:rPr>
      <w:rFonts w:eastAsiaTheme="majorEastAsia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0F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0F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0F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0F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0F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0F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0F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3D7"/>
    <w:rPr>
      <w:rFonts w:ascii="Times New Roman" w:eastAsiaTheme="majorEastAsia" w:hAnsi="Times New Roman" w:cstheme="majorBidi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44D57"/>
    <w:rPr>
      <w:rFonts w:ascii="Times New Roman" w:eastAsiaTheme="majorEastAsia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AE0F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0F0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0F0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0F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0F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0F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0F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2"/>
    <w:qFormat/>
    <w:rsid w:val="00AE0F0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2"/>
    <w:rsid w:val="00AE0F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0F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E0F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0F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0F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E0F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E0F0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E0F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E0F0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E0F09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D33C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CD33C1"/>
    <w:rPr>
      <w:rFonts w:ascii="Times New Roman" w:hAnsi="Times New Roman"/>
      <w:kern w:val="0"/>
      <w:sz w:val="28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CD33C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CD33C1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Body Text"/>
    <w:basedOn w:val="a"/>
    <w:link w:val="af1"/>
    <w:uiPriority w:val="16"/>
    <w:rsid w:val="008E1215"/>
    <w:pPr>
      <w:ind w:firstLine="709"/>
      <w:jc w:val="both"/>
    </w:pPr>
  </w:style>
  <w:style w:type="character" w:customStyle="1" w:styleId="af1">
    <w:name w:val="Основной текст Знак"/>
    <w:basedOn w:val="a0"/>
    <w:link w:val="af0"/>
    <w:uiPriority w:val="16"/>
    <w:rsid w:val="008E1215"/>
    <w:rPr>
      <w:rFonts w:ascii="Times New Roman" w:hAnsi="Times New Roman"/>
      <w:kern w:val="0"/>
      <w:sz w:val="28"/>
      <w:szCs w:val="22"/>
      <w14:ligatures w14:val="none"/>
    </w:rPr>
  </w:style>
  <w:style w:type="paragraph" w:styleId="af2">
    <w:name w:val="TOC Heading"/>
    <w:basedOn w:val="1"/>
    <w:next w:val="a"/>
    <w:uiPriority w:val="39"/>
    <w:unhideWhenUsed/>
    <w:qFormat/>
    <w:rsid w:val="00E10A8D"/>
    <w:pPr>
      <w:spacing w:before="240" w:line="259" w:lineRule="auto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760ED"/>
    <w:pPr>
      <w:tabs>
        <w:tab w:val="left" w:pos="142"/>
        <w:tab w:val="left" w:pos="720"/>
        <w:tab w:val="right" w:leader="dot" w:pos="9344"/>
      </w:tabs>
      <w:ind w:left="278" w:hanging="278"/>
      <w:contextualSpacing/>
    </w:pPr>
    <w:rPr>
      <w:noProof/>
      <w:color w:val="000000" w:themeColor="text1"/>
      <w:szCs w:val="28"/>
    </w:rPr>
  </w:style>
  <w:style w:type="character" w:styleId="af3">
    <w:name w:val="Hyperlink"/>
    <w:basedOn w:val="a0"/>
    <w:uiPriority w:val="99"/>
    <w:unhideWhenUsed/>
    <w:rsid w:val="00E10A8D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22DA5"/>
    <w:pPr>
      <w:tabs>
        <w:tab w:val="left" w:pos="709"/>
        <w:tab w:val="right" w:leader="dot" w:pos="9344"/>
      </w:tabs>
      <w:ind w:left="709" w:hanging="429"/>
      <w:contextualSpacing/>
    </w:pPr>
  </w:style>
  <w:style w:type="paragraph" w:styleId="af4">
    <w:name w:val="No Spacing"/>
    <w:uiPriority w:val="1"/>
    <w:qFormat/>
    <w:rsid w:val="00E773D7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table" w:styleId="af5">
    <w:name w:val="Table Grid"/>
    <w:basedOn w:val="a1"/>
    <w:uiPriority w:val="39"/>
    <w:rsid w:val="001530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Unresolved Mention"/>
    <w:basedOn w:val="a0"/>
    <w:uiPriority w:val="99"/>
    <w:semiHidden/>
    <w:unhideWhenUsed/>
    <w:rsid w:val="00803E73"/>
    <w:rPr>
      <w:color w:val="605E5C"/>
      <w:shd w:val="clear" w:color="auto" w:fill="E1DFDD"/>
    </w:rPr>
  </w:style>
  <w:style w:type="character" w:styleId="af7">
    <w:name w:val="annotation reference"/>
    <w:basedOn w:val="a0"/>
    <w:uiPriority w:val="99"/>
    <w:semiHidden/>
    <w:unhideWhenUsed/>
    <w:rsid w:val="002C7DE7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2C7DE7"/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2C7DE7"/>
    <w:rPr>
      <w:rFonts w:ascii="Times New Roman" w:hAnsi="Times New Roman"/>
      <w:kern w:val="0"/>
      <w:sz w:val="20"/>
      <w:szCs w:val="20"/>
      <w14:ligatures w14:val="none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2C7DE7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2C7DE7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customStyle="1" w:styleId="afc">
    <w:name w:val="К формуле одна строка"/>
    <w:basedOn w:val="a"/>
    <w:uiPriority w:val="9"/>
    <w:qFormat/>
    <w:rsid w:val="00E6758A"/>
    <w:pPr>
      <w:tabs>
        <w:tab w:val="left" w:pos="709"/>
      </w:tabs>
      <w:spacing w:after="320"/>
      <w:jc w:val="both"/>
    </w:pPr>
  </w:style>
  <w:style w:type="paragraph" w:customStyle="1" w:styleId="msonormal0">
    <w:name w:val="msonormal"/>
    <w:basedOn w:val="a"/>
    <w:rsid w:val="004A2C59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A2C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A2C5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4A2C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webSettings" Target="webSettings.xml"/><Relationship Id="rId90" Type="http://schemas.openxmlformats.org/officeDocument/2006/relationships/footer" Target="footer1.xml"/><Relationship Id="rId3" Type="http://schemas.openxmlformats.org/officeDocument/2006/relationships/styles" Target="styles.xm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" Type="http://schemas.openxmlformats.org/officeDocument/2006/relationships/settings" Target="settings.xml"/><Relationship Id="rId7" Type="http://schemas.openxmlformats.org/officeDocument/2006/relationships/endnotes" Target="endnotes.xml"/><Relationship Id="rId92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48D6AD-67D6-4E39-A180-F1B61EE96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119</Pages>
  <Words>29464</Words>
  <Characters>167946</Characters>
  <Application>Microsoft Office Word</Application>
  <DocSecurity>0</DocSecurity>
  <Lines>1399</Lines>
  <Paragraphs>394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Мешков</dc:creator>
  <cp:keywords/>
  <dc:description/>
  <cp:lastModifiedBy>Владислав Мешков</cp:lastModifiedBy>
  <cp:revision>39</cp:revision>
  <cp:lastPrinted>2026-05-24T19:25:00Z</cp:lastPrinted>
  <dcterms:created xsi:type="dcterms:W3CDTF">2026-05-19T10:23:00Z</dcterms:created>
  <dcterms:modified xsi:type="dcterms:W3CDTF">2026-05-24T19:44:00Z</dcterms:modified>
</cp:coreProperties>
</file>