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240" w:before="0"/>
        <w:ind w:firstLine="709"/>
        <w:jc w:val="left"/>
      </w:pPr>
      <w:r>
        <w:rPr>
          <w:rFonts w:ascii="Times New Roman" w:hAnsi="Times New Roman"/>
          <w:b/>
          <w:sz w:val="28"/>
        </w:rPr>
        <w:t>1.4 Разработка информационной модели предметной области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Информационная модель определяет, какие данные хранит программное средство, как они устроены и как связаны между собой. От её качества зависят целостность денежных расчётов, возможность проверить любую операцию по записям и защита персональных данных клиентов. Модель построена в виде ER-диаграммы (диаграммы «сущность – связь») и приведена на рисунке 1.12.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ER-диаграмма (от англ. Entity-Relationship, «сущность – связь») – графическая модель данных, в которой предметная область описывается совокупностью сущностей, их атрибутов и связей между ними. Сущность соответствует таблице базы данных, атрибут – её столбцу, связь – ссылке одной таблицы на другую. На диаграмме показаны основные сущности предметной области и основные связи между ними. Справочники, сессии, коды подтверждения, настройки, журнал действий и другие вспомогательные таблицы на рисунке опущены для читаемости, их полный состав приведён в SQL-скрипте создания базы данных (приложение).</w:t>
      </w:r>
    </w:p>
    <w:p>
      <w:pPr>
        <w:keepNext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sz w:val="28"/>
        </w:rPr>
        <w:t>Рисунок 1.12 – ER-диаграмма информационной модели программного средства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Четырнадцать основных сущностей образуют четыре группы. Группа доступа включает сущности «Роль», «Пользователь» и «Клиент» и определяет, кто работает с системой и что ему разрешено. Ядро учёта образуют «Счёт», «Документ» и «Проводка»: они реализуют принцип двойной записи, по которому любая операция отражается одновременно по дебету одного счёта и кредиту другого. Группа операций состоит из сущностей «Заявка на перевод», «Платёж» и «Карта». Группа продуктов описывает вклады и кредиты: «Продукт вклада», «Вклад», «Кредитный продукт», «Кредитная заявка» и «Кредит». Назначение и основные атрибуты сущностей приведены в таблице 1.21.</w:t>
      </w:r>
    </w:p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b w:val="0"/>
          <w:sz w:val="28"/>
        </w:rPr>
        <w:t>Таблица 1.21 – Описание сущностей информационной модели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атрибуты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Роль (roles)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Категория пользователя системы с набором прав: клиент, операционист, кредитный специалист, специалист по мониторингу, администратор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код роли, наименование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 (users)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Учётная запись для входа в систему; принадлежит одной роли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логин, хэш пароля, роль, статус, число неудачных входов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(clients)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Физическое лицо, подключённое к дистанционному банковскому обслуживанию; связано с учётной записью пользователя. Паспортные данные и идентификационный номер хранятся в зашифрованном виде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фамилия, имя, отчество, дата рождения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 (accounts)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Банковский счёт клиента (текущий, накопительный, вкладной, ссудный) либо внутренний счёт банка (касса, корреспондентский счёт, счета доходов и расходов), у которого владельца нет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номер IBAN, владелец, балансовый счёт, вид, наименование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 (documents)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Банковская операция как единое целое; объединяет все проводки одной операции. Уникальный ключ идемпотентности не позволяет выполнить одну операцию дважды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тип, статус, ключ идемпотентности, банковская дата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(postings)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Запись двойной записи: сумма, списываемая с одного счёта (дебет) и зачисляемая на другой (кредит). Остаток счёта определяется проводками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документ, счёт дебета, счёт кредита, сумма, банковская дата</w:t>
            </w:r>
          </w:p>
        </w:tc>
      </w:tr>
    </w:tbl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b w:val="0"/>
          <w:sz w:val="28"/>
        </w:rPr>
        <w:t xml:space="preserve">Продолжение таблицы 1.21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атрибуты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 (transfer_intents)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Намерение клиента выполнить перевод; существует до подтверждения кодом и проверок антифрода, после проведения связывается с документом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(между своими счетами или клиенту), счёт списания, сумма, сумма в BYN, комиссия, документ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Платёж (payments)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Оплата услуги по каталогу поставщиков, выполненная со счёта клиента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поставщик, счёт списания, сумма, комиссия, реквизит, документ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Карта (cards)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Банковская платёжная карта, привязанная к счёту. Номер хранится в зашифрованном виде, для поиска используется хэш номера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счёт, платёжная система, зашифрованный номер, хэш номера, последние четыре цифры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Продукт вклада (deposit_products)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Условия вклада, предлагаемые банком: срок, ставка, валюта, возможность капитализации и досрочного расторжения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наименование, валюта, срок, ставка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 (deposits)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Договор вклада конкретного клиента; ставки фиксируются на дату открытия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клиент, продукт, счёт вклада, валюта, сумма, ставка, ставка «до востребования»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Кредитный продукт (loan_products)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Условия кредита, предлагаемые банком: ставка, границы суммы и срока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наименование, ставка, минимальная и максимальная сумма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 (loan_applications)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клиента на кредит с результатом оценки кредитоспособности (скоринговый балл, вероятность дефолта, долговая нагрузка) и решением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клиент, продукт, сумма, срок, вид графика, ставка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(loans)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Кредитный договор, возникший по одобренной и подписанной заявке; обслуживается по графику платежей</w:t>
            </w:r>
          </w:p>
        </w:tc>
        <w:tc>
          <w:tcPr>
            <w:tcW w:type="dxa" w:w="266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заявка, ссудный счёт, сумма, ставка, срок, вид графика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Связи между сущностями приведены в таблице 1.22. Все они реализованы внешними ключами, поэтому база данных не допускает ссылок на несуществующие записи: нельзя создать проводку по отсутствующему счёту или вклад без клиента.</w:t>
      </w:r>
    </w:p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b w:val="0"/>
          <w:sz w:val="28"/>
        </w:rPr>
        <w:t>Таблица 1.22 – Описание связей информационной модели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Родительская сущность</w:t>
            </w:r>
          </w:p>
        </w:tc>
        <w:tc>
          <w:tcPr>
            <w:tcW w:type="dxa" w:w="221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Дочерняя сущность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Кратность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Смысл связи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Роль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каждый пользователь имеет одну роль, ролью обладают многие пользователи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1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имеет одну учётную запись; у сотрудников банка записи клиента нет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владеет несколькими счетами; у внутренних счетов банка владельца нет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может иметь несколько вкладов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может подавать несколько заявок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(по дебету)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счёту выполняется много списаний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(по кредиту)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счёту выполняется много зачислений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операция состоит из нескольких проводок, сумма дебета которых равна сумме кредита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со счёта списания можно создать много заявок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проведённая заявка связывается с документом операции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Платёж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со счёта выполняется много платежей</w:t>
            </w:r>
          </w:p>
        </w:tc>
      </w:tr>
    </w:tbl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b w:val="0"/>
          <w:sz w:val="28"/>
        </w:rPr>
        <w:t xml:space="preserve">Продолжение таблицы 1.22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/>
        </w:trPr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Родительская сущность</w:t>
            </w:r>
          </w:p>
        </w:tc>
        <w:tc>
          <w:tcPr>
            <w:tcW w:type="dxa" w:w="221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Дочерняя сущность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Кратность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Смысл связи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Документ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Платёж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каждый платёж отражается документом операции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Карта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 счёту можно выпустить несколько карт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Продукт вклада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одному продукту открывается много вкладов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 учитывается на отдельном счёте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Кредитный продукт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по одному продукту подаётся много заявок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Кредитная заявка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1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выдаётся по одной одобренной и подписанной заявке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</w:t>
            </w:r>
          </w:p>
        </w:tc>
        <w:tc>
          <w:tcPr>
            <w:tcW w:type="dxa" w:w="221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 : M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учитывается на ссудном счёте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проектировании модели приняты следующие решения. Денежные суммы хранятся целыми числами в минимальных единицах валюты (копейках), что исключает ошибки округления, свойственные числам с плавающей точкой. Остаток счёта не вводится независимо, а определяется проводками: он равен разности оборотов по кредиту и дебету, и значение остатка в таблице счетов изменяется только вместе с проводкой в одной транзакции. Проводки и записи журнала действий после создания не изменяются и не удаляются: запрет задан триггерами базы данных, поэтому ошибочную операцию исправляют обратной проводкой (сторно), а история остаётся полной.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Целостность данных обеспечивается на нескольких уровнях. Внешние ключи гарантируют ссылочную целостность, ограничения CHECK задают допустимые значения (например, вид счёта и статус операции), а уникальные индексы исключают дубликаты номера IBAN и ключа идемпотентности. Для внутренних счетов банка ограничение требует, чтобы владелец отсутствовал, а для счетов клиентов – чтобы он был указан. На счетах клиентов, кроме ссудных, остаток не может стать отрицательным.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Структура модели приведена к третьей нормальной форме: каждая сущность описывает один объект предметной области, неключевые атрибуты зависят от ключа своей сущности, а связи между объектами выражены внешними ключами, а не повторением данных. Из этого правила сделаны осознанные исключения (денормализация), каждое из которых имеет причину. Во-первых, ставки по вкладам и кредитам копируются из продукта в договор: банк может изменить ставку продукта, но условия заключённого договора должны остаться прежними. Во-вторых, остаток счёта, остаток основного долга по кредиту и начисленные проценты по вкладу хранятся как значения, производные от проводок и графика платежей; пересчёт при каждом обращении замедлил бы работу и потребовал бы блокировки большого числа записей, а согласованность обеспечивается тем, что такие значения изменяются только вместе с проводкой в одной транзакции. В-третьих, результаты расчётов по заявке (платёж по графику, долговая нагрузка, скоринговый балл) сохраняются как зафиксированный итог решения, чтобы его можно было проверить и воспроизвести, даже если правила оценки изменятся. В-четвёртых, рядом с зашифрованными значениями (номер карты, идентификационный номер) хранятся хэши и последние цифры, что позволяет искать записи без расшифровки.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Персональные данные защищены на уровне хранения: паспортные данные и идентификационный номер клиента, а также номер карты хранятся в зашифрованном виде алгоритмом AES-256-GCM, пароли – в виде хэш-значений. Для поиска по номеру карты и идентификационному номеру используются отдельные хэши, поэтому расшифровывать данные для поиска не требуется.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Помимо хранимой модели данных, для описания структуры программного средства построены диаграммы классов. Они показывают классы предметной области, их атрибуты и операции, а также связи между классами: ассоциацию, агрегацию (клиент объединяет счета, вклады и заявки, но они существуют как самостоятельные записи), композицию (документ состоит из проводок и не существует без них) и зависимость (кредит использует перечисление видов графика). Каждая связь подписана действием, рядом с концами связей указаны кратности. Атрибуты классов соответствуют столбцам таблиц базы данных, а операции – функциям сервисов программного средства. Из-за числа классов модель разбита на четыре диаграммы; класс, участвующий в нескольких из них, показан на каждой полностью.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Пользователь входит в систему с одной из ролей, а клиент банка связан с учётной записью один к одному. Клиент владеет счетами (рисунок 1.13).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1.13 – Диаграмма классов: пользователи, клиенты и счета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Все денежные операции по счёту (оплата услуг, переводы, операции по картам) оформляются банковским документом, который состоит из проводок двойной записи (рисунок 1.14).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1.14 – Диаграмма классов: счета, платежи, переводы и проводки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Вклад открывается клиентом по условиям продукта и хранится на отдельном счёте (рисунок 1.15).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1.15 – Диаграмма классов: вклады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Клиент подаёт заявку на кредит по условиям продукта. После одобрения и подписания заявка порождает кредит, который погашается со счёта клиента (рисунок 1.16).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1.16 – Диаграмма классов: кредиты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диаграммы включены четырнадцать классов и одно перечисление. Назначение классов, их основные атрибуты и операции приведены в таблице 1.23. Типы атрибутов указаны в нотации JavaScript: денежные суммы в программе хранятся целым числом копеек, а остаток счёта вычисляется по проводкам, поэтому поле balance служит кэшем значения.</w:t>
      </w:r>
    </w:p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sz w:val="28"/>
        </w:rPr>
        <w:t>Таблица 1.23 – Классы модели предметной области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атрибуты</w:t>
            </w:r>
          </w:p>
        </w:tc>
        <w:tc>
          <w:tcPr>
            <w:tcW w:type="dxa" w:w="2324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операции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Role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Роль пользователя и набор её прав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code, name, permissions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User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Учётная запись для входа в систему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login, passwordHash, status, failedAttempts, totpEnabled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login(), setBlocked(), changeRole()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Client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Клиент банка с анкетными данными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lastName, firstName, birthDate, kycStatus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verifyClient(), rejectClient()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Account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Счёт клиента в одной валюте с номером IBAN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iban, kind, currency, balance, status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openForUser(), closeForUser(), setFrozen()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Document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Банковский документ, объединяющий проводки одной операции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type, status, idempotencyKey, bankDate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post(), reverse()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Posting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Проводка двойной записи: дебет одного счёта и кредит другого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debitAccount, creditAccount, amount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TransferIntent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перевод со статусом, комиссией и сроком действия кода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kind, amount, amountByn, fee, status, expiresAt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confirmTransfer(), cancelTransfer()</w:t>
            </w:r>
          </w:p>
        </w:tc>
      </w:tr>
    </w:tbl>
    <w:p>
      <w:pPr>
        <w:keepNext/>
        <w:spacing w:line="360" w:lineRule="auto" w:after="120" w:before="0"/>
        <w:jc w:val="left"/>
      </w:pPr>
      <w:r>
        <w:rPr>
          <w:rFonts w:ascii="Times New Roman" w:hAnsi="Times New Roman"/>
          <w:sz w:val="28"/>
        </w:rPr>
        <w:t xml:space="preserve">Продолжение таблицы 1.23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атрибуты</w:t>
            </w:r>
          </w:p>
        </w:tc>
        <w:tc>
          <w:tcPr>
            <w:tcW w:type="dxa" w:w="2324"/>
          </w:tcPr>
          <w:p>
            <w:pPr>
              <w:keepNext/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Основные операции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Payment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Оплата услуги по каталогу получателей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requisite, amount, fee, source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pay(), getReceipt()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Card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Банковская платёжная карта с лимитами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system, last4, dailyLimit, onlineEnabled, status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setBlocked(), updateLimits(), purchase()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DepositProduct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Условия вклада: срок, ставка, капитализация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name, currency, termMonths, ratePercent, capitalization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projectIncome()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Deposit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Вклад клиента, открытый по условиям продукта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amount, ratePercent, maturityDate, interestTotal, status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quoteEarlyClose(), closeEarly()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LoanProduct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Условия кредита: ставка, границы суммы и срока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name, ratePercent, minAmount, maxAmount, minTerm, maxTerm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previewSchedule()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LoanApplication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Заявка на кредит с результатом скоринга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amount, termMonths, scheduleType, dtiPercent, score, pdPercent, status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apply(), decide(), sign()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Loan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Выданный кредит с остатком основного долга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id, amount, ratePercent, termMonths, principalBalance, status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quoteFull(), repayPartial(), repayFull()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ScheduleType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Перечисление видов графика платежей</w:t>
            </w:r>
          </w:p>
        </w:tc>
        <w:tc>
          <w:tcPr>
            <w:tcW w:type="dxa" w:w="2721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annuity, differentiated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</w:tbl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Диаграммы классов описывают данные и их поведение, но не показывают, где именно выполняется бизнес-логика. В программном средстве она вынесена в отдельный слой сервисов: контроллеры принимают запрос и вызывают сервис, сервис выполняет операцию в одной транзакции и обращается к моделям с SQL-запросами. Слой показан тремя диаграммами. Пунктирная стрелка означает, что один сервис использует другой, подпись указывает действие.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Закрытие операционного дня запускает начисление процентов по вкладам, исполнение автоплатежей, отправку пакета межбанковского клиринга и обработку графиков и просрочки по кредитам (рисунок 1.17).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1.17 – Диаграмма классов слоя бизнес-логики: закрытие операционного дня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Перевод и межбанковский перевод проверяются антифрод-сервисом, а перевод, межбанковский перевод и подписание кредита подтверждаются кодом. Кредит оценивается сервисом скоринга (рисунок 1.18).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1.18 – Диаграмма классов слоя бизнес-логики: проверка и подтверждение операций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Сервисы вкладов, платежей, кредитов, карт и переводов проводят деньги через сервис учёта, работают со счетами через сервис счетов, ведут журнал аудита и отправляют уведомления, которые сервис уведомлений ставит в очередь на отправку письмом (рисунок 1.19).</w:t>
      </w:r>
    </w:p>
    <w:p>
      <w:pPr>
        <w:keepNext/>
        <w:spacing w:line="360" w:lineRule="auto" w:after="240" w:before="0"/>
        <w:jc w:val="center"/>
      </w:pPr>
      <w:r/>
    </w:p>
    <w:p>
      <w:pPr>
        <w:spacing w:line="360" w:lineRule="auto" w:after="240" w:before="0"/>
        <w:jc w:val="center"/>
      </w:pPr>
      <w:r>
        <w:rPr>
          <w:rFonts w:ascii="Times New Roman" w:hAnsi="Times New Roman"/>
          <w:sz w:val="28"/>
        </w:rPr>
        <w:t>Рисунок 1.19 – Диаграмма классов слоя бизнес-логики: учёт, уведомления и аудит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