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/>
        <w:spacing w:line="360" w:lineRule="auto" w:after="240" w:before="0"/>
        <w:ind w:firstLine="709"/>
        <w:jc w:val="left"/>
      </w:pPr>
      <w:r>
        <w:rPr>
          <w:rFonts w:ascii="Times New Roman" w:hAnsi="Times New Roman"/>
          <w:b/>
          <w:sz w:val="28"/>
        </w:rPr>
        <w:t>1.5 UML-модели представления программного средства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Модели представления показывают программное средство с разных точек зрения: кто и для чего им пользуется, как взаимодействуют его части при выполнении операции, в какой последовательности выполняются действия, какие состояния принимают объекты и как система размещается на оборудовании. Для описания использован унифицированный язык моделирования UML. Построены диаграммы вариантов использования, последовательности, деятельности, состояний, компонентов и развёртывания. Диаграмма классов и ER-диаграмма приведены в подразделе 1.4.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1.5.1 Модель вариантов использования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вариантов использования описывает функциональность системы с точки зрения внешних участников (актёров). Актёр – роль, в которой пользователь взаимодействует с системой, вариант использования – законченное действие, дающее актёру значимый результат. В системе шесть актёров, их назначение приведено в таблице 1.9.</w:t>
      </w:r>
    </w:p>
    <w:p>
      <w:pPr>
        <w:keepNext/>
        <w:spacing w:line="360" w:lineRule="auto" w:after="120" w:before="0"/>
        <w:jc w:val="left"/>
      </w:pPr>
      <w:r>
        <w:rPr>
          <w:rFonts w:ascii="Times New Roman" w:hAnsi="Times New Roman"/>
          <w:b w:val="0"/>
          <w:sz w:val="28"/>
        </w:rPr>
        <w:t>Таблица 1.9 – Актёры системы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rPr>
          <w:tblHeader/>
        </w:trPr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Актёр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Назначение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/>
                <w:sz w:val="24"/>
              </w:rPr>
              <w:t>Основные возможности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Гость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Посетитель без учётной записи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Просмотр курсов валют, калькуляторы вклада и кредита, сведения о банке, регистрация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Клиент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Физическое лицо с проверенной анкетой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Счета, переводы, оплата услуг, вклады, кредиты, карты, выписки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Операционист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Сотрудник, обслуживающий клиентов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Проверка анкет, касса, входящие межбанковские платежи, блокировка счетов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Кредитный специалист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Сотрудник кредитного отдела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Рассмотрение заявок на кредит, принятие решения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Специалист по финансовому мониторингу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Сотрудник службы контроля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Разбор задержанных переводов, операции особого контроля</w:t>
            </w:r>
          </w:p>
        </w:tc>
      </w:tr>
      <w:tr>
        <w:tc>
          <w:tcPr>
            <w:tcW w:type="dxa" w:w="204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Администратор</w:t>
            </w:r>
          </w:p>
        </w:tc>
        <w:tc>
          <w:tcPr>
            <w:tcW w:type="dxa" w:w="2721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Технический и управляющий персонал</w:t>
            </w:r>
          </w:p>
        </w:tc>
        <w:tc>
          <w:tcPr>
            <w:tcW w:type="dxa" w:w="4535"/>
          </w:tcPr>
          <w:p>
            <w:pPr>
              <w:spacing w:line="240" w:lineRule="auto"/>
            </w:pPr>
            <w:r/>
            <w:r>
              <w:rPr>
                <w:rFonts w:ascii="Times New Roman" w:hAnsi="Times New Roman"/>
                <w:b w:val="0"/>
                <w:sz w:val="24"/>
              </w:rPr>
              <w:t>Курсы и тарифы, пользователи и роли, журнал аудита, резервные копии, отчёты, закрытие операционного дня, клиринг</w:t>
            </w:r>
          </w:p>
        </w:tc>
      </w:tr>
    </w:tbl>
    <w:p>
      <w:pPr>
        <w:spacing w:line="360" w:lineRule="auto" w:after="0" w:before="0"/>
        <w:ind w:firstLine="709"/>
        <w:jc w:val="both"/>
      </w:pP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Гость может без входа просмотреть курсы валют, воспользоваться калькуляторами вклада и кредита, прочитать сведения о банке и подать анкету на регистрацию (рисунок 1.20). Все операции с деньгами ему недоступны.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448138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gues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448138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1.20 – Диаграмма вариантов использования: гость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Клиент после проверки анкеты сотрудником получает доступ к счетам, переводам и платежам (рисунок 1.21). Перевод клиенту банка и перевод в другой банк включают вариант «Подтверждение кодом»: одноразовый код отправляется на электронную почту клиента, и операция выполняется только после его ввода.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132859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client-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13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1.21 – Диаграмма вариантов использования: клиент, счета, переводы и платежи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Вторая часть возможностей клиента связана с банковскими продуктами (рисунок 1.22): вклады, кредиты и карты, а также настройка двухфакторной защиты и уведомлений. Подача заявки на кредит включает скоринг, подписание кредитного договора – подтверждение кодом.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5132859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client-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51328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1.22 – Диаграмма вариантов использования: клиент, вклады, кредиты и карты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Сотрудники банка работают в отдельных рабочих местах, состав которых определяется ролью (рисунок 1.23). Права роли задаются набором разрешений, поэтому сотруднику доступны только операции его подразделения.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214424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staff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2144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1.23 – Диаграмма вариантов использования: сотрудники банка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Администратор настраивает систему и контролирует её работу (рисунок 1.24): управляет курсами и тарифами, пользователями и ролями, просматривает журнал аудита, создаёт и восстанавливает резервные копии, формирует отчёты, закрывает операционный день и управляет клирингом.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780255" cy="7740000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uc-admin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780255" cy="77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1.24 – Диаграмма вариантов использования: администратор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1.5.2 Диаграммы последовательности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последовательности показывает обмен сообщениями между участниками в порядке времени. Вертикальные пунктирные линии – линии жизни участников, сплошные стрелки – вызовы, пунктирные – ответы. Фрагмент alt обозначает выбор одной из ветвей по условию.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На рисунке 1.25 показан перевод клиенту банка. Контроллер принимает форму и вызывает сервис переводов. Сервис проверяет счета, номер IBAN, суточный лимит и комиссию и обращается к антифрод-сервису. Если риск высокий, сумма резервируется и перевод задерживается до решения специалиста. Если сумма выше порога или антифрод требует подтверждения, сервис запрашивает у сервиса кодов одноразовый код, клиент вводит его, и сервис проверяет код. После этого проводки двойной записи выполняются сервисом учёта в одной транзакции, и клиент получает квитанцию.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753671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transfer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753671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1.25 – Диаграмма последовательности: перевод клиенту банка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На рисунке 1.26 показано оформление кредита. Сервис кредитов рассчитывает график платежей и долговую нагрузку и передаёт данные сервису скоринга, который возвращает вероятность дефолта. При вероятности до 8 % и сумме в пределах лимита заявка одобряется автоматически, при вероятности до 30 % её рассматривает кредитный специалист, в остальных случаях выдаётся отказ. Одобренную заявку клиент подписывает кодом из письма, после чего сервис учёта выполняет проводку выдачи кредита.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77543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eq-loa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775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1.26 – Диаграмма последовательности: заявка на кредит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1.5.3 Диаграммы деятельности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деятельности описывает порядок действий процесса и распределяет их между участниками с помощью дорожек. Чёрный круг обозначает начало, круг с точкой – конец, ромб – ветвление по условию.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Процесс перевода клиенту банка (рисунок 1.27) начинается вводом данных клиентом. Система проверяет данные и при ошибке возвращает клиента к вводу. Затем антифрод оценивает риск и выбирает одну из трёх ветвей: перевод без кода, перевод с кодом подтверждения или задержка. При задержке сумма резервируется, и специалист по мониторингу принимает решение: одобренный перевод проводится, отклонённый завершается снятием резерва. Проведённый перевод заканчивается уведомлением клиента и квитанцией.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65267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transfer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65267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1.27 – Диаграмма деятельности: перевод клиенту банка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Процесс оформления кредита (рисунок 1.28) начинается заявкой клиента. Система рассчитывает график и долговую нагрузку: при нагрузке выше 40 % следует отказ. Далее скоринг определяет вероятность дефолта и направляет заявку по одной из ветвей: автоодобрение, ручное рассмотрение кредитным специалистом или отказ. После одобрения клиент подписывает договор кодом, и система выдаёт кредит: открывает ссудный счёт, формирует график и зачисляет деньги.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692424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act-loan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692424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1.28 – Диаграмма деятельности: оформление кредита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1.5.4 Диаграммы состояний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состояний показывает, какие состояния принимает объект в течение жизни и какие события переводят его из одного состояния в другое. Названия состояний совпадают со значениями поля статуса в базе данных.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Заявка на перевод (рисунок 1.29) создаётся в состоянии new и ждёт кода. Верный код (или отсутствие необходимости в коде) переводит её в confirmed, отмена клиентом – в cancelled, истечение срока кода – в expired. Если антифрод задерживает перевод, заявка сразу получает состояние review, а специалист переводит её в confirmed или rejected.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5019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transfer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5019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1.29 – Диаграмма состояний: заявка на перевод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Заявка на кредит (рисунок 1.30) получает начальное состояние по результату проверки: approved при автоодобрении, manual_review при ручном рассмотрении, rejected при отказе. Специалист переводит заявку из manual_review в approved или rejected. Одобренная заявка после подписания договора кодом становится signed.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745781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7457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1.30 – Диаграмма состояний: заявка на кредит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Выданный кредит (рисунок 1.31) находится в состоянии active до полного погашения, после чего становится closed. Каждый платёж графика сначала planned. Оплата в срок переводит его в paid, а если срок прошёл без оплаты, платёж становится overdue, начисляется пеня, и после погашения платёж переходит в paid.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288520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loan-payment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2885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1.31 – Диаграмма состояний: кредит и платёж по графику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Вклад (рисунок 1.32) открывается в состоянии active и закрывается либо по сроку (closed), либо досрочно с перерасчётом процентов (early_closed). Карта выпускается в состоянии active, клиент может заблокировать и разблокировать её, а при закрытии карта получает состояние closed.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088610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st-deposit-card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08861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1.32 – Диаграмма состояний: вклад и карта</w:t>
      </w:r>
    </w:p>
    <w:p>
      <w:pPr>
        <w:keepNext/>
        <w:spacing w:line="360" w:lineRule="auto" w:after="0" w:before="0"/>
        <w:ind w:firstLine="709"/>
        <w:jc w:val="both"/>
      </w:pPr>
      <w:r>
        <w:rPr>
          <w:rFonts w:ascii="Times New Roman" w:hAnsi="Times New Roman"/>
          <w:b/>
          <w:sz w:val="28"/>
        </w:rPr>
        <w:t>1.5.5 Диаграммы компонентов и развёртывания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компонентов показывает структуру программного средства и интерфейсы между частями (рисунок 1.33). Браузер получает страницы и клиентский JavaScript по HTTPS. На сервере запрос проходит через промежуточные слои (сессии, защита от подделки запросов, проверка прав, обязательная двухфакторная защита сотрудников), затем маршруты передают его контроллеру. Контроллер вызывает сервисы с бизнес-логикой и формирует ответ с помощью представлений EJS. Сервисы работают с базой данных PostgreSQL через модели с SQL-запросами, получают курсы валют по HTTPS от Национального банка и отправляют письма через SMTP-сервер. Фоновые задачи создают зашифрованные резервные копии и отправляют письма из очереди.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3027142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components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302714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1.33 – Диаграмма компонентов</w:t>
      </w:r>
    </w:p>
    <w:p>
      <w:pPr>
        <w:spacing w:line="360" w:lineRule="auto" w:after="0" w:before="0"/>
        <w:ind w:firstLine="709"/>
        <w:jc w:val="both"/>
      </w:pPr>
      <w:r>
        <w:rPr>
          <w:rFonts w:ascii="Times New Roman" w:hAnsi="Times New Roman"/>
          <w:b w:val="0"/>
          <w:sz w:val="28"/>
        </w:rPr>
        <w:t>Диаграмма развёртывания показывает размещение программного средства на оборудовании (рисунок 1.34). Клиент работает в браузере на своём компьютере и обращается к серверу приложения по протоколу HTTPS: перед приложением стоит обратный прокси-сервер с сертификатом TLS. Приложение на Node.js обращается к серверу базы данных по протоколу PostgreSQL, к почтовому серверу по SMTP и к интерфейсу Национального банка за курсами валют. Резервные копии базы данных шифруются алгоритмом AES-256-GCM и хранятся отдельно от рабочей базы.</w:t>
      </w:r>
    </w:p>
    <w:p>
      <w:pPr>
        <w:keepNext/>
        <w:spacing w:line="360" w:lineRule="auto" w:after="240" w:before="0"/>
        <w:jc w:val="center"/>
      </w:pPr>
      <w:r>
        <w:drawing>
          <wp:inline xmlns:a="http://schemas.openxmlformats.org/drawingml/2006/main" xmlns:pic="http://schemas.openxmlformats.org/drawingml/2006/picture">
            <wp:extent cx="5868000" cy="2970479"/>
            <wp:docPr id="15" name="Picture 1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view-deployment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5868000" cy="29704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line="360" w:lineRule="auto" w:after="240" w:before="0"/>
        <w:jc w:val="center"/>
      </w:pPr>
      <w:r>
        <w:rPr>
          <w:rFonts w:ascii="Times New Roman" w:hAnsi="Times New Roman"/>
          <w:b w:val="0"/>
          <w:sz w:val="28"/>
        </w:rPr>
        <w:t>Рисунок 1.34 – Диаграмма развёртывания</w:t>
      </w:r>
    </w:p>
    <w:sectPr w:rsidR="00FC693F" w:rsidRPr="0006063C" w:rsidSect="00034616">
      <w:pgSz w:w="12240" w:h="15840"/>
      <w:pgMar w:top="1134" w:right="850" w:bottom="1134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Times New Roman"/>
      <w:sz w:val="28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Relationship Id="rId23" Type="http://schemas.openxmlformats.org/officeDocument/2006/relationships/image" Target="media/image15.png"/><Relationship Id="rId24" Type="http://schemas.openxmlformats.org/officeDocument/2006/relationships/image" Target="media/image1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