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 и их описание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части, в какой последовательности выполняются действия, какие состояния принимает объект и как система размещается на оборудовании. Для описания использован унифицированный язык моделирования UML, построено по одной диаграмме каждого вида. Диаграммы последовательности, деятельности и состояний посвящены оформлению кредита – наиболее сложному процессу системы (подраздел 1.2). Диаграмма классов и ER-диаграмма приведены в подразделе 1.4.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Состояния заявки на кредит показаны на рисунке 1.13, названия состояний совпадают со значениями поля статуса в базе данных.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Заявка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Функции системы с точки зрения внешних участников показаны на диаграмме вариантов использования (рисунок 1.14).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787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787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Актёры соответствуют участникам процесса из таблицы 1.2, варианты использования названы действиями. Клиент является специализацией гостя (обобщение) и наследует его возможности: гость смотрит курсы и регистрируется, клиент после проверки анкеты работает со счетами, переводами, платежами, вкладами, кредитами, картами и выписками. Отношение «include» показывает обязательные части действия: перевод и оплата услуги включают подтверждение операции кодом, оформление кредита включает оценку кредитоспособности и составление графика платежей, а рассмотрение заявки кредитным специалистом использует ту же оценку. Отношение «extend» показывает необязательное расширение при выполнении условия: конвертация валют, передача подозрительного перевода на проверку, досрочное закрытие вклада, досрочное погашение кредита, блокировка карты. Закрытие операционного дня администратором включает создание резервной копии.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Последовательность оформления кредита показана на рисунке 1.15.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6858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68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последовательности: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Объекты подписаны в форме «: Класс», клиент и кредитный специалист показаны актёрами, период работы объекта отмечен фокусом управления, сообщения пронумерованы и названы операциями программы. Контроллер принимает заявку (create), сервис кредитов (apply) строит график платежей, считает долговую нагрузку и обращается к сервису скоринга за вероятностью дефолта. Ветвление показано отдельными блоками alt: при нагрузке выше 40 % или вероятности дефолта выше 30 % выдаётся отказ; при вероятности от 8 до 30 % или сумме выше лимита заявку рассматривает кредитный специалист (decide); иначе заявка одобряется автоматически. Одобренную заявку клиент подписывает кодом (sendCode, sign): сервис проверяет код, сохраняет договор и график, выполняет проводку выдачи кредита и переводит заявку в состояние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Порядок действий и их распределение между участниками показаны на рисунке 1.16.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деятельности: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деятельности дополняет подраздел 1.2. Система рассчитывает график и долговую нагрузку: при нагрузке выше 40 % следует отказ. Затем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Размещение программного средства на оборудовании показано на диаграмме развёртывания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работает в браузере и обращается к серверу приложения по протоколу HTTPS через обратный прокси-сервер с сертификатом TLS. Приложение на Node.js обращается к серверу базы данных MySQL, к почтовому серверу по SMTP и к Национальному банку за курсами валют.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показана на диаграмме компонентов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Браузер получает по HTTPS файлы интерфейса (страницу, таблицу стилей, модули JavaScript), затем обращается к программному интерфейсу сервера и получает данные в формате JSON. На сервере запрос проходит через промежуточные слои (сессии, защита от подделки запросов, проверка прав, двухфакторная защита), затем маршруты передают его контроллеру. Контроллер вызывает сервисы с бизнес-логикой и возвращает JSON, а страницы из него собирает клиентский JavaScript. Сервисы работают с базой данных MySQL через модели с SQL-запросами, получают курсы валют от Национального банка и отправляют письма через SMTP-сервер. Фоновые задачи создают зашифрованные резервные копии.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Построенные модели согласованы между собой и с подразделом 1.4: актёры и варианты использования соответствуют ролям и правам доступа, последовательность и состояния – статусам заявок в базе данных, компоненты – слоям программы.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