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firstLine="709"/>
        <w:contextualSpacing/>
        <w:jc w:val="both"/>
      </w:pPr>
      <w:r>
        <w:rPr>
          <w:highlight w:val="yellow"/>
        </w:rPr>
        <w:t>[Вставить в 1.3 после абзаца «Программное средство должно быть реализовано как клиент-серверное веб-приложение…» и перед абзацем «Функциональность программного средства для разных категорий пользователей…». Эту строку удалить.]</w:t>
      </w:r>
    </w:p>
    <w:p>
      <w:pPr>
        <w:ind w:firstLine="709"/>
        <w:contextualSpacing/>
        <w:jc w:val="both"/>
      </w:pPr>
      <w:r>
        <w:t>Возможности бизнеса. Создание программного средства позволит банку: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предоставить клиентам круглосуточный доступ к счетам, переводам, платежам, вкладам, кредитам и банковским картам без посещения отделения;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вести учёт операций по принципу двойной записи с полной неизменяемой историей и автоматической проверкой сбалансированности;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принимать решения по кредитным заявкам по формализованным правилам: рассчитывать долговую нагрузку и вероятность дефолта и автоматически одобрять, направлять на ручное рассмотрение или отклонять заявки;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выявлять подозрительные переводы по правилам контроля и приостанавливать их до решения специалиста по финансовому мониторингу;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выполнять регламентные операции (проценты по вкладам, обслуживание кредитов, автоплатежи, межбанковский клиринг) при закрытии операционного дня;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разграничить права сотрудников банка и сохранять данные клиентов с помощью шифрования, журнала действий и резервного копирования.</w:t>
      </w:r>
    </w:p>
    <w:p>
      <w:pPr>
        <w:ind w:firstLine="709"/>
        <w:contextualSpacing/>
        <w:jc w:val="both"/>
      </w:pPr>
      <w:r>
        <w:t>Бизнес-цели. Выделены следующие бизнес-цели проекта: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BO-1 расширить дистанционное обслуживание: все группы услуг из таблицы 1.1 доступны клиенту в системе, визит в отделение нужен только для внесения и получения наличных;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BO-2 сократить трудоёмкость кредитного процесса: кредитный специалист рассматривает только заявки, направленные на ручное рассмотрение;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BO-3 обеспечить достоверность учёта: при закрытии каждого операционного дня сумма остатков по каждой валюте равна нулю, проводки не изменяются и не удаляются;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BO-4 снизить риск мошеннических операций: переводы с высокой оценкой риска приостанавливаются, сумма резервируется до решения специалиста;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BO-5 защитить данные клиентов: пароли хранятся в виде хэш-значений, паспортные данные шифруются, действия пользователей записываются в журнал;</w:t>
      </w:r>
    </w:p>
    <w:p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</w:pPr>
      <w:r>
        <w:t>BO-6 сделать решения банка понятными клиенту: до подписания договора клиент видит расчёт долговой нагрузки, результат скоринга и график платежей, при отказе указывается причина.</w:t>
      </w:r>
    </w:p>
    <w:p>
      <w:pPr>
        <w:ind w:firstLine="709"/>
        <w:contextualSpacing/>
        <w:jc w:val="both"/>
      </w:pPr>
      <w:r>
        <w:t>Видение решения. Разрабатываемое программное средство – веб-приложение «ТалерБанк» (название условное) для дистанционного банковского обслуживания физических лиц. Гость видит курсы валют, пользуется калькуляторами вкладов и кредитов и подаёт заявку на подключение. После проверки анкеты клиенту доступны счета в белорусских рублях и иностранной валюте с номерами в формате IBAN, переводы между своими счетами, клиентам банка и в другие банки, оплата услуг по каталогу поставщиков, шаблоны и автоплатежи, вклады, кредиты с расчётом графика, долговой нагрузки и скоринга, банковские карты, выписки и справки в формате PDF. Сотрудники банка работают в том же приложении в рабочих местах, состав которых определяется ролью. Все денежные операции выполняются через единый механизм проводок двойной записи в одной транзакции базы данных. В отличие от рассмотренных аналогов (таблица 1.3), переводы проводятся в момент подтверждения, выписка формируется за произвольный период, а клиенту объясняется решение по кредитной заявке.</w:t>
      </w:r>
    </w:p>
    <w:p>
      <w:pPr>
        <w:ind w:firstLine="709"/>
        <w:contextualSpacing/>
        <w:jc w:val="both"/>
      </w:pPr>
      <w:r>
        <w:t>Бизнес-правила. Правила, которым должно соответствовать программное средство, приведены в таблице 1.5.</w:t>
      </w:r>
    </w:p>
    <w:p>
      <w:pPr>
        <w:keepNext/>
        <w:ind w:left="1701" w:hanging="1701"/>
        <w:contextualSpacing/>
        <w:jc w:val="both"/>
      </w:pPr>
      <w:r>
        <w:t>Таблица 1.5 – Бизнес-правила</w:t>
      </w:r>
    </w:p>
    <w:tbl>
      <w:tblPr>
        <w:tblStyle w:val="af5"/>
        <w:tblLook w:firstColumn="1" w:firstRow="1" w:lastColumn="0" w:lastRow="0" w:noHBand="0" w:noVBand="1" w:val="04A0"/>
        <w:tblW w:w="9350" w:type="dxa"/>
        <w:tblLayout w:type="fixed"/>
      </w:tblPr>
      <w:tblGrid>
        <w:gridCol w:w="1000"/>
        <w:gridCol w:w="3900"/>
        <w:gridCol w:w="1850"/>
        <w:gridCol w:w="2600"/>
      </w:tblGrid>
      <w:tr>
        <w:trPr>
          <w:cantSplit/>
          <w:tblHeader/>
        </w:trPr>
        <w:tc>
          <w:tcPr>
            <w:tcW w:type="dxa" w:w="10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Код</w:t>
            </w:r>
          </w:p>
        </w:tc>
        <w:tc>
          <w:tcPr>
            <w:tcW w:type="dxa" w:w="39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Определение правила</w:t>
            </w:r>
          </w:p>
        </w:tc>
        <w:tc>
          <w:tcPr>
            <w:tcW w:type="dxa" w:w="185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Тип правила</w:t>
            </w:r>
          </w:p>
        </w:tc>
        <w:tc>
          <w:tcPr>
            <w:tcW w:type="dxa" w:w="26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BR-1</w:t>
            </w:r>
          </w:p>
        </w:tc>
        <w:tc>
          <w:tcPr>
            <w:tcW w:type="dxa" w:w="3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Номер счёта записывается в формате IBAN Республики Беларусь (28 символов), контрольные цифры вычисляются как остаток от деления на 97</w:t>
            </w:r>
          </w:p>
        </w:tc>
        <w:tc>
          <w:tcPr>
            <w:tcW w:type="dxa" w:w="185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Ограничение, статическое</w:t>
            </w:r>
          </w:p>
        </w:tc>
        <w:tc>
          <w:tcPr>
            <w:tcW w:type="dxa" w:w="26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Стандарт ISO 13616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BR-2</w:t>
            </w:r>
          </w:p>
        </w:tc>
        <w:tc>
          <w:tcPr>
            <w:tcW w:type="dxa" w:w="3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Каждая операция с деньгами отражается проводкой по дебету одного и кредиту другого счёта; проводки не изменяются и не удаляются, ошибка исправляется сторнированием</w:t>
            </w:r>
          </w:p>
        </w:tc>
        <w:tc>
          <w:tcPr>
            <w:tcW w:type="dxa" w:w="185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Факт, статическое</w:t>
            </w:r>
          </w:p>
        </w:tc>
        <w:tc>
          <w:tcPr>
            <w:tcW w:type="dxa" w:w="26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Принцип двойной записи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BR-3</w:t>
            </w:r>
          </w:p>
        </w:tc>
        <w:tc>
          <w:tcPr>
            <w:tcW w:type="dxa" w:w="3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Клиент получает доступ к операциям после проверки анкеты сотрудником банка; возраст клиента не менее 18 лет</w:t>
            </w:r>
          </w:p>
        </w:tc>
        <w:tc>
          <w:tcPr>
            <w:tcW w:type="dxa" w:w="185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Ограничение, статическое</w:t>
            </w:r>
          </w:p>
        </w:tc>
        <w:tc>
          <w:tcPr>
            <w:tcW w:type="dxa" w:w="26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Закон «О мерах по предотвращению легализации доходов…»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BR-4</w:t>
            </w:r>
          </w:p>
        </w:tc>
        <w:tc>
          <w:tcPr>
            <w:tcW w:type="dxa" w:w="3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Идентификационный номер и паспортные данные хранятся только в зашифрованном виде</w:t>
            </w:r>
          </w:p>
        </w:tc>
        <w:tc>
          <w:tcPr>
            <w:tcW w:type="dxa" w:w="185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Ограничение, статическое</w:t>
            </w:r>
          </w:p>
        </w:tc>
        <w:tc>
          <w:tcPr>
            <w:tcW w:type="dxa" w:w="26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Закон «О защите персональных данных»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BR-5</w:t>
            </w:r>
          </w:p>
        </w:tc>
        <w:tc>
          <w:tcPr>
            <w:tcW w:type="dxa" w:w="3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После пяти неудачных попыток входа учётная запись блокируется на 15 минут; вход сотрудников выполняется с двухфакторной аутентификацией</w:t>
            </w:r>
          </w:p>
        </w:tc>
        <w:tc>
          <w:tcPr>
            <w:tcW w:type="dxa" w:w="185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Ограничение, динамическое</w:t>
            </w:r>
          </w:p>
        </w:tc>
        <w:tc>
          <w:tcPr>
            <w:tcW w:type="dxa" w:w="26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Политика безопасности банка</w:t>
            </w:r>
          </w:p>
        </w:tc>
      </w:tr>
    </w:tbl>
    <w:p>
      <w:pPr>
        <w:keepNext/>
        <w:ind w:left="0"/>
        <w:contextualSpacing/>
        <w:jc w:val="left"/>
      </w:pPr>
      <w:r>
        <w:t xml:space="preserve">Продолжение таблицы 1.5</w:t>
      </w:r>
    </w:p>
    <w:tbl>
      <w:tblPr>
        <w:tblStyle w:val="af5"/>
        <w:tblLook w:firstColumn="1" w:firstRow="1" w:lastColumn="0" w:lastRow="0" w:noHBand="0" w:noVBand="1" w:val="04A0"/>
        <w:tblW w:w="9350" w:type="dxa"/>
        <w:tblLayout w:type="fixed"/>
      </w:tblPr>
      <w:tblGrid>
        <w:gridCol w:w="1000"/>
        <w:gridCol w:w="3900"/>
        <w:gridCol w:w="1850"/>
        <w:gridCol w:w="2600"/>
      </w:tblGrid>
      <w:tr>
        <w:trPr>
          <w:cantSplit/>
          <w:tblHeader/>
        </w:trPr>
        <w:tc>
          <w:tcPr>
            <w:tcW w:type="dxa" w:w="10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Код</w:t>
            </w:r>
          </w:p>
        </w:tc>
        <w:tc>
          <w:tcPr>
            <w:tcW w:type="dxa" w:w="39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Определение правила</w:t>
            </w:r>
          </w:p>
        </w:tc>
        <w:tc>
          <w:tcPr>
            <w:tcW w:type="dxa" w:w="185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Тип правила</w:t>
            </w:r>
          </w:p>
        </w:tc>
        <w:tc>
          <w:tcPr>
            <w:tcW w:type="dxa" w:w="26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BR-6</w:t>
            </w:r>
          </w:p>
        </w:tc>
        <w:tc>
          <w:tcPr>
            <w:tcW w:type="dxa" w:w="3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Суточный лимит переводов клиентам банка – 5 000 BYN; перевод от 100 BYN, перевод в другой банк и подписание кредитного договора подтверждаются одноразовым кодом</w:t>
            </w:r>
          </w:p>
        </w:tc>
        <w:tc>
          <w:tcPr>
            <w:tcW w:type="dxa" w:w="185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Ограничение, динамическое</w:t>
            </w:r>
          </w:p>
        </w:tc>
        <w:tc>
          <w:tcPr>
            <w:tcW w:type="dxa" w:w="26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Тарифы и политика безопасности банка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BR-7</w:t>
            </w:r>
          </w:p>
        </w:tc>
        <w:tc>
          <w:tcPr>
            <w:tcW w:type="dxa" w:w="3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Долговая нагрузка заёмщика не должна превышать 40 %, заявка с большей нагрузкой отклоняется</w:t>
            </w:r>
          </w:p>
        </w:tc>
        <w:tc>
          <w:tcPr>
            <w:tcW w:type="dxa" w:w="185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Ограничение, динамическое</w:t>
            </w:r>
          </w:p>
        </w:tc>
        <w:tc>
          <w:tcPr>
            <w:tcW w:type="dxa" w:w="26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Инструкция о порядке предоставления денежных средств в форме кредита и их возврата (погашения)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BR-8</w:t>
            </w:r>
          </w:p>
        </w:tc>
        <w:tc>
          <w:tcPr>
            <w:tcW w:type="dxa" w:w="3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Заявка одобряется автоматически при вероятности дефолта не выше 8 % и сумме не выше 5 000 BYN; при вероятности не выше 30 % направляется кредитному специалисту; иначе отклоняется</w:t>
            </w:r>
          </w:p>
        </w:tc>
        <w:tc>
          <w:tcPr>
            <w:tcW w:type="dxa" w:w="185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Ограничение, динамическое</w:t>
            </w:r>
          </w:p>
        </w:tc>
        <w:tc>
          <w:tcPr>
            <w:tcW w:type="dxa" w:w="26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Кредитная политика банка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BR-9</w:t>
            </w:r>
          </w:p>
        </w:tc>
        <w:tc>
          <w:tcPr>
            <w:tcW w:type="dxa" w:w="3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За каждый день просрочки начисляется пеня 0,1 % от суммы просроченного платежа</w:t>
            </w:r>
          </w:p>
        </w:tc>
        <w:tc>
          <w:tcPr>
            <w:tcW w:type="dxa" w:w="185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Факт, динамическое</w:t>
            </w:r>
          </w:p>
        </w:tc>
        <w:tc>
          <w:tcPr>
            <w:tcW w:type="dxa" w:w="26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Кредитный договор, тарифы банка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BR-10</w:t>
            </w:r>
          </w:p>
        </w:tc>
        <w:tc>
          <w:tcPr>
            <w:tcW w:type="dxa" w:w="3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Отзывный вклад можно закрыть досрочно с пересчётом процентов по ставке до востребования, безотзывный вклад досрочно закрыть нельзя</w:t>
            </w:r>
          </w:p>
        </w:tc>
        <w:tc>
          <w:tcPr>
            <w:tcW w:type="dxa" w:w="185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Ограничение, статическое</w:t>
            </w:r>
          </w:p>
        </w:tc>
        <w:tc>
          <w:tcPr>
            <w:tcW w:type="dxa" w:w="26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Условия банковского продукта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BR-11</w:t>
            </w:r>
          </w:p>
        </w:tc>
        <w:tc>
          <w:tcPr>
            <w:tcW w:type="dxa" w:w="3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Перевод с оценкой риска от 30 баллов подтверждается кодом, от 60 баллов задерживается до решения специалиста; операции от 20 000 BYN относятся к операциям особого контроля</w:t>
            </w:r>
          </w:p>
        </w:tc>
        <w:tc>
          <w:tcPr>
            <w:tcW w:type="dxa" w:w="185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Ограничение, динамическое</w:t>
            </w:r>
          </w:p>
        </w:tc>
        <w:tc>
          <w:tcPr>
            <w:tcW w:type="dxa" w:w="26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Закон «О мерах по предотвращению легализации доходов…»</w:t>
            </w:r>
          </w:p>
        </w:tc>
      </w:tr>
    </w:tbl>
    <w:p>
      <w:pPr>
        <w:keepNext/>
        <w:ind w:left="0"/>
        <w:contextualSpacing/>
        <w:jc w:val="left"/>
      </w:pPr>
      <w:r>
        <w:t xml:space="preserve">Продолжение таблицы 1.5</w:t>
      </w:r>
    </w:p>
    <w:tbl>
      <w:tblPr>
        <w:tblStyle w:val="af5"/>
        <w:tblLook w:firstColumn="1" w:firstRow="1" w:lastColumn="0" w:lastRow="0" w:noHBand="0" w:noVBand="1" w:val="04A0"/>
        <w:tblW w:w="9350" w:type="dxa"/>
        <w:tblLayout w:type="fixed"/>
      </w:tblPr>
      <w:tblGrid>
        <w:gridCol w:w="1000"/>
        <w:gridCol w:w="3900"/>
        <w:gridCol w:w="1850"/>
        <w:gridCol w:w="2600"/>
      </w:tblGrid>
      <w:tr>
        <w:trPr>
          <w:cantSplit/>
          <w:tblHeader/>
        </w:trPr>
        <w:tc>
          <w:tcPr>
            <w:tcW w:type="dxa" w:w="10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Код</w:t>
            </w:r>
          </w:p>
        </w:tc>
        <w:tc>
          <w:tcPr>
            <w:tcW w:type="dxa" w:w="39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Определение правила</w:t>
            </w:r>
          </w:p>
        </w:tc>
        <w:tc>
          <w:tcPr>
            <w:tcW w:type="dxa" w:w="185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Тип правила</w:t>
            </w:r>
          </w:p>
        </w:tc>
        <w:tc>
          <w:tcPr>
            <w:tcW w:type="dxa" w:w="26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BR-12</w:t>
            </w:r>
          </w:p>
        </w:tc>
        <w:tc>
          <w:tcPr>
            <w:tcW w:type="dxa" w:w="3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Резервные копии базы данных создаются автоматически не реже одного раза в сутки, шифруются, хранятся последние 14 копий</w:t>
            </w:r>
          </w:p>
        </w:tc>
        <w:tc>
          <w:tcPr>
            <w:tcW w:type="dxa" w:w="185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Ограничение, динамическое</w:t>
            </w:r>
          </w:p>
        </w:tc>
        <w:tc>
          <w:tcPr>
            <w:tcW w:type="dxa" w:w="26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Политика безопасности банка</w:t>
            </w:r>
          </w:p>
        </w:tc>
      </w:tr>
    </w:tbl>
    <w:p>
      <w:pPr>
        <w:ind w:firstLine="709"/>
        <w:contextualSpacing/>
        <w:jc w:val="both"/>
      </w:pPr>
    </w:p>
    <w:p>
      <w:pPr>
        <w:ind w:firstLine="709"/>
        <w:contextualSpacing/>
        <w:jc w:val="both"/>
      </w:pPr>
      <w:r>
        <w:t>Динамические правила хранятся в настройках системы, администратор изменяет их без изменения программы.</w:t>
      </w:r>
    </w:p>
    <w:p>
      <w:pPr>
        <w:ind w:firstLine="709"/>
        <w:contextualSpacing/>
        <w:jc w:val="both"/>
      </w:pPr>
      <w:r>
        <w:t>Профили заинтересованных лиц. Заинтересованными лицами являются все, на кого влияет разработка или эксплуатация программного средства. Их профили приведены в таблице 1.6.</w:t>
      </w:r>
    </w:p>
    <w:p>
      <w:pPr>
        <w:keepNext/>
        <w:ind w:left="1701" w:hanging="1701"/>
        <w:contextualSpacing/>
        <w:jc w:val="both"/>
      </w:pPr>
      <w:r>
        <w:t>Таблица 1.6 – Профили заинтересованных лиц</w:t>
      </w:r>
    </w:p>
    <w:tbl>
      <w:tblPr>
        <w:tblStyle w:val="af5"/>
        <w:tblLook w:firstColumn="1" w:firstRow="1" w:lastColumn="0" w:lastRow="0" w:noHBand="0" w:noVBand="1" w:val="04A0"/>
        <w:tblW w:w="9350" w:type="dxa"/>
        <w:tblLayout w:type="fixed"/>
      </w:tblPr>
      <w:tblGrid>
        <w:gridCol w:w="1900"/>
        <w:gridCol w:w="2300"/>
        <w:gridCol w:w="2900"/>
        <w:gridCol w:w="2250"/>
      </w:tblGrid>
      <w:tr>
        <w:trPr>
          <w:cantSplit/>
          <w:tblHeader/>
        </w:trPr>
        <w:tc>
          <w:tcPr>
            <w:tcW w:type="dxa" w:w="19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Заинтересованное лицо</w:t>
            </w:r>
          </w:p>
        </w:tc>
        <w:tc>
          <w:tcPr>
            <w:tcW w:type="dxa" w:w="23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Основная ценность</w:t>
            </w:r>
          </w:p>
        </w:tc>
        <w:tc>
          <w:tcPr>
            <w:tcW w:type="dxa" w:w="29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Основные интересы</w:t>
            </w:r>
          </w:p>
        </w:tc>
        <w:tc>
          <w:tcPr>
            <w:tcW w:type="dxa" w:w="225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Клиент банка</w:t>
            </w:r>
          </w:p>
        </w:tc>
        <w:tc>
          <w:tcPr>
            <w:tcW w:type="dxa" w:w="23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Удобный и безопасный доступ к банковским услугам без визита в отделение</w:t>
            </w:r>
          </w:p>
        </w:tc>
        <w:tc>
          <w:tcPr>
            <w:tcW w:type="dxa" w:w="2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Скорость и простота операций, сохранность денег и данных, понятные причины решений банка</w:t>
            </w:r>
          </w:p>
        </w:tc>
        <w:tc>
          <w:tcPr>
            <w:tcW w:type="dxa" w:w="225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Операции доступны после проверки анкеты, действуют лимиты, крупные операции подтверждаются кодом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Сотрудники банка</w:t>
            </w:r>
          </w:p>
        </w:tc>
        <w:tc>
          <w:tcPr>
            <w:tcW w:type="dxa" w:w="23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Сокращение ручной работы при проверке анкет, кредитовании и контроле операций</w:t>
            </w:r>
          </w:p>
        </w:tc>
        <w:tc>
          <w:tcPr>
            <w:tcW w:type="dxa" w:w="2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Рабочее место под свою роль: анкеты и касса, заявки на кредит, задержанные переводы</w:t>
            </w:r>
          </w:p>
        </w:tc>
        <w:tc>
          <w:tcPr>
            <w:tcW w:type="dxa" w:w="225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Доступ только к функциям своей роли, просмотр персональных данных записывается в журнал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Руководство банка</w:t>
            </w:r>
          </w:p>
        </w:tc>
        <w:tc>
          <w:tcPr>
            <w:tcW w:type="dxa" w:w="23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Снижение затрат и рисков, рост числа клиентов</w:t>
            </w:r>
          </w:p>
        </w:tc>
        <w:tc>
          <w:tcPr>
            <w:tcW w:type="dxa" w:w="2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Отчёты по оборотам, кредитному портфелю, вкладам, доходам и расходам; достоверность учёта</w:t>
            </w:r>
          </w:p>
        </w:tc>
        <w:tc>
          <w:tcPr>
            <w:tcW w:type="dxa" w:w="225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Деятельность банка должна соответствовать законодательству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Администратор системы</w:t>
            </w:r>
          </w:p>
        </w:tc>
        <w:tc>
          <w:tcPr>
            <w:tcW w:type="dxa" w:w="23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Бесперебойная и безопасная работа программного средства</w:t>
            </w:r>
          </w:p>
        </w:tc>
        <w:tc>
          <w:tcPr>
            <w:tcW w:type="dxa" w:w="290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Курсы, тарифы и пользователи, журнал аудита, резервные копии, закрытие операционного дня</w:t>
            </w:r>
          </w:p>
        </w:tc>
        <w:tc>
          <w:tcPr>
            <w:tcW w:type="dxa" w:w="2250"/>
          </w:tcPr>
          <w:p>
            <w:pPr>
              <w:keepNext/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Вход с двухфакторной защитой, журнал неизменяем</w:t>
            </w:r>
          </w:p>
        </w:tc>
      </w:tr>
    </w:tbl>
    <w:p>
      <w:pPr>
        <w:keepNext/>
        <w:ind w:left="0"/>
        <w:contextualSpacing/>
        <w:jc w:val="left"/>
      </w:pPr>
      <w:r>
        <w:t xml:space="preserve">Продолжение таблицы 1.6</w:t>
      </w:r>
    </w:p>
    <w:tbl>
      <w:tblPr>
        <w:tblStyle w:val="af5"/>
        <w:tblLook w:firstColumn="1" w:firstRow="1" w:lastColumn="0" w:lastRow="0" w:noHBand="0" w:noVBand="1" w:val="04A0"/>
        <w:tblW w:w="9350" w:type="dxa"/>
        <w:tblLayout w:type="fixed"/>
      </w:tblPr>
      <w:tblGrid>
        <w:gridCol w:w="1900"/>
        <w:gridCol w:w="2300"/>
        <w:gridCol w:w="2900"/>
        <w:gridCol w:w="2250"/>
      </w:tblGrid>
      <w:tr>
        <w:trPr>
          <w:cantSplit/>
          <w:tblHeader/>
        </w:trPr>
        <w:tc>
          <w:tcPr>
            <w:tcW w:type="dxa" w:w="19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Заинтересованное лицо</w:t>
            </w:r>
          </w:p>
        </w:tc>
        <w:tc>
          <w:tcPr>
            <w:tcW w:type="dxa" w:w="23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Основная ценность</w:t>
            </w:r>
          </w:p>
        </w:tc>
        <w:tc>
          <w:tcPr>
            <w:tcW w:type="dxa" w:w="290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Основные интересы</w:t>
            </w:r>
          </w:p>
        </w:tc>
        <w:tc>
          <w:tcPr>
            <w:tcW w:type="dxa" w:w="2250"/>
          </w:tcPr>
          <w:p>
            <w:pPr>
              <w:keepNext/>
              <w:spacing w:line="240" w:lineRule="auto"/>
              <w:contextualSpacing/>
              <w:jc w:val="center"/>
            </w:pPr>
            <w:r/>
            <w:r>
              <w:rPr>
                <w:sz w:val="28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Национальный банк (регулятор)</w:t>
            </w:r>
          </w:p>
        </w:tc>
        <w:tc>
          <w:tcPr>
            <w:tcW w:type="dxa" w:w="23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Соблюдение банковского законодательства</w:t>
            </w:r>
          </w:p>
        </w:tc>
        <w:tc>
          <w:tcPr>
            <w:tcW w:type="dxa" w:w="290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Идентификация клиентов, ограничение долговой нагрузки, контроль операций, защита данных</w:t>
            </w:r>
          </w:p>
        </w:tc>
        <w:tc>
          <w:tcPr>
            <w:tcW w:type="dxa" w:w="2250"/>
          </w:tcPr>
          <w:p>
            <w:pPr>
              <w:spacing w:line="240" w:lineRule="auto"/>
              <w:contextualSpacing/>
              <w:jc w:val="left"/>
            </w:pPr>
            <w:r/>
            <w:r>
              <w:rPr>
                <w:sz w:val="28"/>
              </w:rPr>
              <w:t>Требования законов и инструкций, перечисленных в подразделе 1.1</w:t>
            </w:r>
          </w:p>
        </w:tc>
      </w:tr>
    </w:tbl>
    <w:p>
      <w:pPr>
        <w:ind w:firstLine="709"/>
        <w:contextualSpacing/>
        <w:jc w:val="both"/>
      </w:pPr>
    </w:p>
    <w:p>
      <w:pPr>
        <w:ind w:firstLine="709"/>
        <w:contextualSpacing/>
        <w:jc w:val="both"/>
      </w:pPr>
      <w:r>
        <w:t>Информация из профилей показывает, какие требования предъявляют к системе разные участники, и используется при определении ролей и прав доступа.</w:t>
      </w:r>
    </w:p>
    <w:sectPr w:rsidR="00E773D7" w:rsidRPr="00947DEB" w:rsidSect="00067E56">
      <w:footerReference w:type="default" r:id="rId90"/>
      <w:pgSz w:w="11906" w:h="16838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D6B0B" w14:textId="77777777" w:rsidR="0057227D" w:rsidRDefault="0057227D" w:rsidP="00CD33C1">
      <w:r>
        <w:separator/>
      </w:r>
    </w:p>
  </w:endnote>
  <w:endnote w:type="continuationSeparator" w:id="0">
    <w:p w14:paraId="09E1FBDB" w14:textId="77777777" w:rsidR="0057227D" w:rsidRDefault="0057227D" w:rsidP="00CD3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3941113"/>
      <w:docPartObj>
        <w:docPartGallery w:val="Page Numbers (Bottom of Page)"/>
        <w:docPartUnique/>
      </w:docPartObj>
    </w:sdtPr>
    <w:sdtContent>
      <w:p w14:paraId="2C19B916" w14:textId="490F947D" w:rsidR="00CD33C1" w:rsidRDefault="00CD33C1">
        <w:pPr>
          <w:pStyle w:val="ae"/>
          <w:jc w:val="right"/>
        </w:pPr>
        <w:r w:rsidRPr="00803E73">
          <w:fldChar w:fldCharType="begin"/>
        </w:r>
        <w:r w:rsidRPr="00803E73">
          <w:instrText>PAGE   \* MERGEFORMAT</w:instrText>
        </w:r>
        <w:r w:rsidRPr="00803E73">
          <w:fldChar w:fldCharType="separate"/>
        </w:r>
        <w:r w:rsidRPr="00803E73">
          <w:t>2</w:t>
        </w:r>
        <w:r w:rsidRPr="00803E73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7CE4B" w14:textId="77777777" w:rsidR="0057227D" w:rsidRDefault="0057227D" w:rsidP="00CD33C1">
      <w:r>
        <w:separator/>
      </w:r>
    </w:p>
  </w:footnote>
  <w:footnote w:type="continuationSeparator" w:id="0">
    <w:p w14:paraId="758E4C63" w14:textId="77777777" w:rsidR="0057227D" w:rsidRDefault="0057227D" w:rsidP="00CD3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31A"/>
    <w:multiLevelType w:val="hybridMultilevel"/>
    <w:tmpl w:val="F7DC570A"/>
    <w:lvl w:ilvl="0" w:tplc="9E0EEE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502D7"/>
    <w:multiLevelType w:val="multilevel"/>
    <w:tmpl w:val="483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72AA"/>
    <w:multiLevelType w:val="multilevel"/>
    <w:tmpl w:val="5AF8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B48A2"/>
    <w:multiLevelType w:val="hybridMultilevel"/>
    <w:tmpl w:val="68329BB6"/>
    <w:lvl w:ilvl="0" w:tplc="30C8C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C3A80"/>
    <w:multiLevelType w:val="multilevel"/>
    <w:tmpl w:val="FD1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C5E0F"/>
    <w:multiLevelType w:val="hybridMultilevel"/>
    <w:tmpl w:val="3BD00564"/>
    <w:lvl w:ilvl="0" w:tplc="30C8CA7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23495D"/>
    <w:multiLevelType w:val="multilevel"/>
    <w:tmpl w:val="55040E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0404B"/>
    <w:multiLevelType w:val="multilevel"/>
    <w:tmpl w:val="9FAA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E1AE1"/>
    <w:multiLevelType w:val="multilevel"/>
    <w:tmpl w:val="A632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02D1A"/>
    <w:multiLevelType w:val="multilevel"/>
    <w:tmpl w:val="072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63AB9"/>
    <w:multiLevelType w:val="hybridMultilevel"/>
    <w:tmpl w:val="1838808A"/>
    <w:lvl w:ilvl="0" w:tplc="30C8CA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D67877"/>
    <w:multiLevelType w:val="multilevel"/>
    <w:tmpl w:val="DD34C0C8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4415E3"/>
    <w:multiLevelType w:val="multilevel"/>
    <w:tmpl w:val="D1AEBB5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3B18D8"/>
    <w:multiLevelType w:val="multilevel"/>
    <w:tmpl w:val="75A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24189"/>
    <w:multiLevelType w:val="multilevel"/>
    <w:tmpl w:val="E1C8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3B76F0"/>
    <w:multiLevelType w:val="multilevel"/>
    <w:tmpl w:val="0A0008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363E1"/>
    <w:multiLevelType w:val="multilevel"/>
    <w:tmpl w:val="16D089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483F9F"/>
    <w:multiLevelType w:val="multilevel"/>
    <w:tmpl w:val="E5C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93874"/>
    <w:multiLevelType w:val="multilevel"/>
    <w:tmpl w:val="048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942BF"/>
    <w:multiLevelType w:val="multilevel"/>
    <w:tmpl w:val="B14A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F7664"/>
    <w:multiLevelType w:val="multilevel"/>
    <w:tmpl w:val="710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00DC0"/>
    <w:multiLevelType w:val="multilevel"/>
    <w:tmpl w:val="439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06541"/>
    <w:multiLevelType w:val="multilevel"/>
    <w:tmpl w:val="8B7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A230B"/>
    <w:multiLevelType w:val="multilevel"/>
    <w:tmpl w:val="152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04755"/>
    <w:multiLevelType w:val="multilevel"/>
    <w:tmpl w:val="B7F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71DD1"/>
    <w:multiLevelType w:val="multilevel"/>
    <w:tmpl w:val="063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F0D90"/>
    <w:multiLevelType w:val="multilevel"/>
    <w:tmpl w:val="186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26A68"/>
    <w:multiLevelType w:val="multilevel"/>
    <w:tmpl w:val="B11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74134"/>
    <w:multiLevelType w:val="hybridMultilevel"/>
    <w:tmpl w:val="4FBAF52C"/>
    <w:lvl w:ilvl="0" w:tplc="30C8CA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16C1A7C"/>
    <w:multiLevelType w:val="multilevel"/>
    <w:tmpl w:val="61FC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0317A"/>
    <w:multiLevelType w:val="multilevel"/>
    <w:tmpl w:val="989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F6678C"/>
    <w:multiLevelType w:val="multilevel"/>
    <w:tmpl w:val="A4D02F1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094514">
    <w:abstractNumId w:val="5"/>
  </w:num>
  <w:num w:numId="2" w16cid:durableId="1485585448">
    <w:abstractNumId w:val="3"/>
  </w:num>
  <w:num w:numId="3" w16cid:durableId="1017587002">
    <w:abstractNumId w:val="28"/>
  </w:num>
  <w:num w:numId="4" w16cid:durableId="221839657">
    <w:abstractNumId w:val="10"/>
  </w:num>
  <w:num w:numId="5" w16cid:durableId="645088867">
    <w:abstractNumId w:val="15"/>
  </w:num>
  <w:num w:numId="6" w16cid:durableId="772167379">
    <w:abstractNumId w:val="6"/>
  </w:num>
  <w:num w:numId="7" w16cid:durableId="1568029225">
    <w:abstractNumId w:val="12"/>
  </w:num>
  <w:num w:numId="8" w16cid:durableId="592519925">
    <w:abstractNumId w:val="31"/>
  </w:num>
  <w:num w:numId="9" w16cid:durableId="1391733273">
    <w:abstractNumId w:val="27"/>
  </w:num>
  <w:num w:numId="10" w16cid:durableId="1853564124">
    <w:abstractNumId w:val="14"/>
  </w:num>
  <w:num w:numId="11" w16cid:durableId="956565616">
    <w:abstractNumId w:val="16"/>
  </w:num>
  <w:num w:numId="12" w16cid:durableId="1130634127">
    <w:abstractNumId w:val="0"/>
  </w:num>
  <w:num w:numId="13" w16cid:durableId="206573949">
    <w:abstractNumId w:val="9"/>
  </w:num>
  <w:num w:numId="14" w16cid:durableId="1588417803">
    <w:abstractNumId w:val="7"/>
  </w:num>
  <w:num w:numId="15" w16cid:durableId="886528059">
    <w:abstractNumId w:val="17"/>
  </w:num>
  <w:num w:numId="16" w16cid:durableId="2145534947">
    <w:abstractNumId w:val="25"/>
  </w:num>
  <w:num w:numId="17" w16cid:durableId="584806585">
    <w:abstractNumId w:val="23"/>
  </w:num>
  <w:num w:numId="18" w16cid:durableId="2012489756">
    <w:abstractNumId w:val="20"/>
  </w:num>
  <w:num w:numId="19" w16cid:durableId="1340346924">
    <w:abstractNumId w:val="18"/>
  </w:num>
  <w:num w:numId="20" w16cid:durableId="1056197892">
    <w:abstractNumId w:val="19"/>
  </w:num>
  <w:num w:numId="21" w16cid:durableId="1942184232">
    <w:abstractNumId w:val="24"/>
  </w:num>
  <w:num w:numId="22" w16cid:durableId="1973562194">
    <w:abstractNumId w:val="21"/>
  </w:num>
  <w:num w:numId="23" w16cid:durableId="649288378">
    <w:abstractNumId w:val="29"/>
  </w:num>
  <w:num w:numId="24" w16cid:durableId="79527187">
    <w:abstractNumId w:val="8"/>
  </w:num>
  <w:num w:numId="25" w16cid:durableId="627931325">
    <w:abstractNumId w:val="30"/>
  </w:num>
  <w:num w:numId="26" w16cid:durableId="1521967452">
    <w:abstractNumId w:val="4"/>
  </w:num>
  <w:num w:numId="27" w16cid:durableId="1150557209">
    <w:abstractNumId w:val="1"/>
  </w:num>
  <w:num w:numId="28" w16cid:durableId="249584486">
    <w:abstractNumId w:val="2"/>
  </w:num>
  <w:num w:numId="29" w16cid:durableId="867719241">
    <w:abstractNumId w:val="22"/>
  </w:num>
  <w:num w:numId="30" w16cid:durableId="1991473513">
    <w:abstractNumId w:val="26"/>
  </w:num>
  <w:num w:numId="31" w16cid:durableId="1327246599">
    <w:abstractNumId w:val="13"/>
  </w:num>
  <w:num w:numId="32" w16cid:durableId="856234306">
    <w:abstractNumId w:val="11"/>
  </w:num>
  <w:num w:numId="901">
    <w:abstractNumId w:val="12"/>
    <w:lvlOverride w:ilvl="0">
      <w:startOverride w:val="1"/>
    </w:lvlOverride>
  </w:num>
  <w:num w:numId="902">
    <w:abstractNumId w:val="1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09"/>
    <w:rsid w:val="00014F16"/>
    <w:rsid w:val="0001648B"/>
    <w:rsid w:val="000164E7"/>
    <w:rsid w:val="00025531"/>
    <w:rsid w:val="00037191"/>
    <w:rsid w:val="00044D57"/>
    <w:rsid w:val="00044F95"/>
    <w:rsid w:val="00057D1F"/>
    <w:rsid w:val="00067E56"/>
    <w:rsid w:val="000A2621"/>
    <w:rsid w:val="000A5F68"/>
    <w:rsid w:val="000B292D"/>
    <w:rsid w:val="000B4A98"/>
    <w:rsid w:val="000D05DB"/>
    <w:rsid w:val="000F2C09"/>
    <w:rsid w:val="00103C23"/>
    <w:rsid w:val="00103E76"/>
    <w:rsid w:val="001072CC"/>
    <w:rsid w:val="00141847"/>
    <w:rsid w:val="00141A5C"/>
    <w:rsid w:val="00141A66"/>
    <w:rsid w:val="00144AE7"/>
    <w:rsid w:val="0014722D"/>
    <w:rsid w:val="00150440"/>
    <w:rsid w:val="00153027"/>
    <w:rsid w:val="00157C70"/>
    <w:rsid w:val="0016268F"/>
    <w:rsid w:val="00172E14"/>
    <w:rsid w:val="001819BF"/>
    <w:rsid w:val="00190705"/>
    <w:rsid w:val="001B4B98"/>
    <w:rsid w:val="001D012D"/>
    <w:rsid w:val="001F1CCC"/>
    <w:rsid w:val="002072A5"/>
    <w:rsid w:val="00217E7E"/>
    <w:rsid w:val="002273E4"/>
    <w:rsid w:val="002671AB"/>
    <w:rsid w:val="002962C6"/>
    <w:rsid w:val="002A084B"/>
    <w:rsid w:val="002A2D50"/>
    <w:rsid w:val="002C3918"/>
    <w:rsid w:val="002C56A8"/>
    <w:rsid w:val="002C7DE7"/>
    <w:rsid w:val="002E0564"/>
    <w:rsid w:val="0030635B"/>
    <w:rsid w:val="00311E6F"/>
    <w:rsid w:val="00330EE1"/>
    <w:rsid w:val="00337100"/>
    <w:rsid w:val="003435A4"/>
    <w:rsid w:val="003627F7"/>
    <w:rsid w:val="00397E78"/>
    <w:rsid w:val="003A109A"/>
    <w:rsid w:val="003A3A9D"/>
    <w:rsid w:val="003A4670"/>
    <w:rsid w:val="00404F0F"/>
    <w:rsid w:val="00436032"/>
    <w:rsid w:val="00457473"/>
    <w:rsid w:val="00457FA8"/>
    <w:rsid w:val="004755CC"/>
    <w:rsid w:val="00475B25"/>
    <w:rsid w:val="004817CC"/>
    <w:rsid w:val="00492C9E"/>
    <w:rsid w:val="00494F88"/>
    <w:rsid w:val="004971D2"/>
    <w:rsid w:val="004A236C"/>
    <w:rsid w:val="004A2C59"/>
    <w:rsid w:val="004A5C10"/>
    <w:rsid w:val="004C0A2C"/>
    <w:rsid w:val="004C30E1"/>
    <w:rsid w:val="004C6D81"/>
    <w:rsid w:val="004F2C20"/>
    <w:rsid w:val="004F34AD"/>
    <w:rsid w:val="005020C0"/>
    <w:rsid w:val="00502F51"/>
    <w:rsid w:val="0051140A"/>
    <w:rsid w:val="00515EB1"/>
    <w:rsid w:val="005234F1"/>
    <w:rsid w:val="0053229D"/>
    <w:rsid w:val="00535076"/>
    <w:rsid w:val="00541C0E"/>
    <w:rsid w:val="00550AAC"/>
    <w:rsid w:val="00555667"/>
    <w:rsid w:val="005645D4"/>
    <w:rsid w:val="00564B45"/>
    <w:rsid w:val="0057227D"/>
    <w:rsid w:val="005A1870"/>
    <w:rsid w:val="005A1992"/>
    <w:rsid w:val="005B5202"/>
    <w:rsid w:val="005D0C41"/>
    <w:rsid w:val="005D69F2"/>
    <w:rsid w:val="005F1E0D"/>
    <w:rsid w:val="0061616B"/>
    <w:rsid w:val="00656797"/>
    <w:rsid w:val="006760ED"/>
    <w:rsid w:val="0068486F"/>
    <w:rsid w:val="0068735B"/>
    <w:rsid w:val="006917B6"/>
    <w:rsid w:val="0069690E"/>
    <w:rsid w:val="006F3A81"/>
    <w:rsid w:val="00715CE2"/>
    <w:rsid w:val="00716A01"/>
    <w:rsid w:val="00720A86"/>
    <w:rsid w:val="00725278"/>
    <w:rsid w:val="00726ECF"/>
    <w:rsid w:val="0073187D"/>
    <w:rsid w:val="007403F0"/>
    <w:rsid w:val="00764E7B"/>
    <w:rsid w:val="00767359"/>
    <w:rsid w:val="00772358"/>
    <w:rsid w:val="007758BF"/>
    <w:rsid w:val="007A063C"/>
    <w:rsid w:val="007A15FA"/>
    <w:rsid w:val="007A6E3D"/>
    <w:rsid w:val="007B2890"/>
    <w:rsid w:val="007C32E9"/>
    <w:rsid w:val="007F3ADD"/>
    <w:rsid w:val="008002EF"/>
    <w:rsid w:val="00803E73"/>
    <w:rsid w:val="00805817"/>
    <w:rsid w:val="00805942"/>
    <w:rsid w:val="008107EE"/>
    <w:rsid w:val="0081454B"/>
    <w:rsid w:val="00816B7E"/>
    <w:rsid w:val="00820FC7"/>
    <w:rsid w:val="00822FE1"/>
    <w:rsid w:val="00852659"/>
    <w:rsid w:val="00852EC1"/>
    <w:rsid w:val="00862ADE"/>
    <w:rsid w:val="0086733E"/>
    <w:rsid w:val="00870C9F"/>
    <w:rsid w:val="00893B3A"/>
    <w:rsid w:val="008955BB"/>
    <w:rsid w:val="008A2951"/>
    <w:rsid w:val="008C5661"/>
    <w:rsid w:val="008C7C62"/>
    <w:rsid w:val="008E1215"/>
    <w:rsid w:val="00907116"/>
    <w:rsid w:val="00920845"/>
    <w:rsid w:val="00934F22"/>
    <w:rsid w:val="00947DEB"/>
    <w:rsid w:val="00950610"/>
    <w:rsid w:val="00982FE3"/>
    <w:rsid w:val="009904F0"/>
    <w:rsid w:val="00994AA8"/>
    <w:rsid w:val="00996B50"/>
    <w:rsid w:val="009A7E02"/>
    <w:rsid w:val="009B1DCF"/>
    <w:rsid w:val="009C22C7"/>
    <w:rsid w:val="009C79FD"/>
    <w:rsid w:val="009F123D"/>
    <w:rsid w:val="009F1545"/>
    <w:rsid w:val="009F66C4"/>
    <w:rsid w:val="00A023BB"/>
    <w:rsid w:val="00A02894"/>
    <w:rsid w:val="00A03E9C"/>
    <w:rsid w:val="00A06298"/>
    <w:rsid w:val="00A16E74"/>
    <w:rsid w:val="00A22798"/>
    <w:rsid w:val="00A24FCA"/>
    <w:rsid w:val="00A25437"/>
    <w:rsid w:val="00A256F9"/>
    <w:rsid w:val="00A31768"/>
    <w:rsid w:val="00A41189"/>
    <w:rsid w:val="00A52C87"/>
    <w:rsid w:val="00A56695"/>
    <w:rsid w:val="00A56F89"/>
    <w:rsid w:val="00AA5CFF"/>
    <w:rsid w:val="00AB2ECE"/>
    <w:rsid w:val="00AC018C"/>
    <w:rsid w:val="00AD07BE"/>
    <w:rsid w:val="00AE0F09"/>
    <w:rsid w:val="00AF6485"/>
    <w:rsid w:val="00B01D18"/>
    <w:rsid w:val="00B1751C"/>
    <w:rsid w:val="00B43EA4"/>
    <w:rsid w:val="00B44C9C"/>
    <w:rsid w:val="00B56980"/>
    <w:rsid w:val="00B641F4"/>
    <w:rsid w:val="00B727A6"/>
    <w:rsid w:val="00B863B2"/>
    <w:rsid w:val="00B978A7"/>
    <w:rsid w:val="00BB04B6"/>
    <w:rsid w:val="00BC3925"/>
    <w:rsid w:val="00BC7B44"/>
    <w:rsid w:val="00C00554"/>
    <w:rsid w:val="00C14A37"/>
    <w:rsid w:val="00C14E5F"/>
    <w:rsid w:val="00C30471"/>
    <w:rsid w:val="00C4591F"/>
    <w:rsid w:val="00C63FB5"/>
    <w:rsid w:val="00C64504"/>
    <w:rsid w:val="00C84357"/>
    <w:rsid w:val="00C916B8"/>
    <w:rsid w:val="00CA5FBC"/>
    <w:rsid w:val="00CB20D6"/>
    <w:rsid w:val="00CD33C1"/>
    <w:rsid w:val="00CE14CB"/>
    <w:rsid w:val="00CE14D1"/>
    <w:rsid w:val="00CE1DCB"/>
    <w:rsid w:val="00CE3843"/>
    <w:rsid w:val="00CF6427"/>
    <w:rsid w:val="00D16C9E"/>
    <w:rsid w:val="00D20031"/>
    <w:rsid w:val="00D26D8E"/>
    <w:rsid w:val="00D45757"/>
    <w:rsid w:val="00D47EA6"/>
    <w:rsid w:val="00D50797"/>
    <w:rsid w:val="00D62C20"/>
    <w:rsid w:val="00D65A19"/>
    <w:rsid w:val="00D7499A"/>
    <w:rsid w:val="00D84A40"/>
    <w:rsid w:val="00D87F57"/>
    <w:rsid w:val="00D906DB"/>
    <w:rsid w:val="00D97932"/>
    <w:rsid w:val="00DA0825"/>
    <w:rsid w:val="00DA0BD0"/>
    <w:rsid w:val="00DC3948"/>
    <w:rsid w:val="00DC64AA"/>
    <w:rsid w:val="00DF6149"/>
    <w:rsid w:val="00DF62D0"/>
    <w:rsid w:val="00E01AD0"/>
    <w:rsid w:val="00E10A8D"/>
    <w:rsid w:val="00E15F25"/>
    <w:rsid w:val="00E1753E"/>
    <w:rsid w:val="00E22184"/>
    <w:rsid w:val="00E22953"/>
    <w:rsid w:val="00E22DA5"/>
    <w:rsid w:val="00E23DCF"/>
    <w:rsid w:val="00E25C05"/>
    <w:rsid w:val="00E517A6"/>
    <w:rsid w:val="00E53D47"/>
    <w:rsid w:val="00E61538"/>
    <w:rsid w:val="00E6758A"/>
    <w:rsid w:val="00E7493E"/>
    <w:rsid w:val="00E751AD"/>
    <w:rsid w:val="00E773D7"/>
    <w:rsid w:val="00EA26E2"/>
    <w:rsid w:val="00EA28BD"/>
    <w:rsid w:val="00EB16C0"/>
    <w:rsid w:val="00EC318A"/>
    <w:rsid w:val="00EC7848"/>
    <w:rsid w:val="00EF1266"/>
    <w:rsid w:val="00F07974"/>
    <w:rsid w:val="00F11BC7"/>
    <w:rsid w:val="00F122BB"/>
    <w:rsid w:val="00F324F7"/>
    <w:rsid w:val="00F60258"/>
    <w:rsid w:val="00F74BA8"/>
    <w:rsid w:val="00F75618"/>
    <w:rsid w:val="00F77705"/>
    <w:rsid w:val="00F77CAC"/>
    <w:rsid w:val="00F838FD"/>
    <w:rsid w:val="00FB2496"/>
    <w:rsid w:val="00FD0B9F"/>
    <w:rsid w:val="00FE313D"/>
    <w:rsid w:val="00FE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15DEC"/>
  <w15:chartTrackingRefBased/>
  <w15:docId w15:val="{B2C4FA1D-1236-48AA-BE30-7C622E53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5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6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5"/>
    <w:qFormat/>
    <w:rsid w:val="006760ED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73D7"/>
    <w:pPr>
      <w:keepNext/>
      <w:keepLines/>
      <w:ind w:left="993" w:hanging="284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44D57"/>
    <w:pPr>
      <w:keepNext/>
      <w:keepLines/>
      <w:ind w:left="1129" w:hanging="420"/>
      <w:contextualSpacing/>
      <w:outlineLvl w:val="1"/>
    </w:pPr>
    <w:rPr>
      <w:rFonts w:eastAsiaTheme="majorEastAsia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F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F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F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F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3D7"/>
    <w:rPr>
      <w:rFonts w:ascii="Times New Roman" w:eastAsiaTheme="majorEastAsia" w:hAnsi="Times New Roman" w:cstheme="majorBidi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44D57"/>
    <w:rPr>
      <w:rFonts w:ascii="Times New Roman" w:eastAsiaTheme="majorEastAsia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E0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0F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0F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F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F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F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F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2"/>
    <w:qFormat/>
    <w:rsid w:val="00AE0F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2"/>
    <w:rsid w:val="00AE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F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F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F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F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0F0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D33C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D33C1"/>
    <w:rPr>
      <w:rFonts w:ascii="Times New Roman" w:hAnsi="Times New Roman"/>
      <w:kern w:val="0"/>
      <w:sz w:val="28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CD33C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D33C1"/>
    <w:rPr>
      <w:rFonts w:ascii="Times New Roman" w:hAnsi="Times New Roman"/>
      <w:kern w:val="0"/>
      <w:sz w:val="28"/>
      <w:szCs w:val="22"/>
      <w14:ligatures w14:val="none"/>
    </w:rPr>
  </w:style>
  <w:style w:type="paragraph" w:styleId="af0">
    <w:name w:val="Body Text"/>
    <w:basedOn w:val="a"/>
    <w:link w:val="af1"/>
    <w:uiPriority w:val="16"/>
    <w:rsid w:val="008E1215"/>
    <w:pPr>
      <w:ind w:firstLine="709"/>
      <w:jc w:val="both"/>
    </w:pPr>
  </w:style>
  <w:style w:type="character" w:customStyle="1" w:styleId="af1">
    <w:name w:val="Основной текст Знак"/>
    <w:basedOn w:val="a0"/>
    <w:link w:val="af0"/>
    <w:uiPriority w:val="16"/>
    <w:rsid w:val="008E1215"/>
    <w:rPr>
      <w:rFonts w:ascii="Times New Roman" w:hAnsi="Times New Roman"/>
      <w:kern w:val="0"/>
      <w:sz w:val="28"/>
      <w:szCs w:val="22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E10A8D"/>
    <w:pPr>
      <w:spacing w:before="240" w:line="259" w:lineRule="auto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760ED"/>
    <w:pPr>
      <w:tabs>
        <w:tab w:val="left" w:pos="142"/>
        <w:tab w:val="left" w:pos="720"/>
        <w:tab w:val="right" w:leader="dot" w:pos="9344"/>
      </w:tabs>
      <w:ind w:left="278" w:hanging="278"/>
      <w:contextualSpacing/>
    </w:pPr>
    <w:rPr>
      <w:noProof/>
      <w:color w:val="000000" w:themeColor="text1"/>
      <w:szCs w:val="28"/>
    </w:rPr>
  </w:style>
  <w:style w:type="character" w:styleId="af3">
    <w:name w:val="Hyperlink"/>
    <w:basedOn w:val="a0"/>
    <w:uiPriority w:val="99"/>
    <w:unhideWhenUsed/>
    <w:rsid w:val="00E10A8D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22DA5"/>
    <w:pPr>
      <w:tabs>
        <w:tab w:val="left" w:pos="709"/>
        <w:tab w:val="right" w:leader="dot" w:pos="9344"/>
      </w:tabs>
      <w:ind w:left="709" w:hanging="429"/>
      <w:contextualSpacing/>
    </w:pPr>
  </w:style>
  <w:style w:type="paragraph" w:styleId="af4">
    <w:name w:val="No Spacing"/>
    <w:uiPriority w:val="1"/>
    <w:qFormat/>
    <w:rsid w:val="00E773D7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table" w:styleId="af5">
    <w:name w:val="Table Grid"/>
    <w:basedOn w:val="a1"/>
    <w:uiPriority w:val="39"/>
    <w:rsid w:val="00153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Unresolved Mention"/>
    <w:basedOn w:val="a0"/>
    <w:uiPriority w:val="99"/>
    <w:semiHidden/>
    <w:unhideWhenUsed/>
    <w:rsid w:val="00803E73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2C7DE7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2C7DE7"/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2C7DE7"/>
    <w:rPr>
      <w:rFonts w:ascii="Times New Roman" w:hAnsi="Times New Roman"/>
      <w:kern w:val="0"/>
      <w:sz w:val="20"/>
      <w:szCs w:val="20"/>
      <w14:ligatures w14:val="none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2C7DE7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2C7DE7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customStyle="1" w:styleId="afc">
    <w:name w:val="К формуле одна строка"/>
    <w:basedOn w:val="a"/>
    <w:uiPriority w:val="9"/>
    <w:qFormat/>
    <w:rsid w:val="00E6758A"/>
    <w:pPr>
      <w:tabs>
        <w:tab w:val="left" w:pos="709"/>
      </w:tabs>
      <w:spacing w:after="320"/>
      <w:jc w:val="both"/>
    </w:pPr>
  </w:style>
  <w:style w:type="paragraph" w:customStyle="1" w:styleId="msonormal0">
    <w:name w:val="msonormal"/>
    <w:basedOn w:val="a"/>
    <w:rsid w:val="004A2C5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A2C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2C5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4A2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3" Type="http://schemas.openxmlformats.org/officeDocument/2006/relationships/styles" Target="styles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92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8D6AD-67D6-4E39-A180-F1B61EE96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119</Pages>
  <Words>29464</Words>
  <Characters>167946</Characters>
  <Application>Microsoft Office Word</Application>
  <DocSecurity>0</DocSecurity>
  <Lines>1399</Lines>
  <Paragraphs>394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Мешков</dc:creator>
  <cp:keywords/>
  <dc:description/>
  <cp:lastModifiedBy>Владислав Мешков</cp:lastModifiedBy>
  <cp:revision>39</cp:revision>
  <cp:lastPrinted>2026-05-24T19:25:00Z</cp:lastPrinted>
  <dcterms:created xsi:type="dcterms:W3CDTF">2026-05-19T10:23:00Z</dcterms:created>
  <dcterms:modified xsi:type="dcterms:W3CDTF">2026-05-24T19:44:00Z</dcterms:modified>
</cp:coreProperties>
</file>