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line="360" w:lineRule="auto" w:after="240" w:before="0"/>
        <w:ind w:firstLine="709"/>
        <w:jc w:val="left"/>
      </w:pPr>
      <w:r>
        <w:rPr>
          <w:rFonts w:ascii="Times New Roman" w:hAnsi="Times New Roman"/>
          <w:b/>
          <w:sz w:val="28"/>
        </w:rPr>
        <w:t>1.4 Разработка информационной модели предметной области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b w:val="0"/>
          <w:sz w:val="28"/>
        </w:rPr>
        <w:t>Информационная модель определяет, какие данные хранит программное средство, как они устроены и как связаны между собой. От её качества зависят целостность денежных расчётов, возможность проверить любую операцию по записям и защита персональных данных клиентов. Модель построена в виде ER-диаграммы (диаграммы «сущность – связь») и приведена на рисунке 1.12.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b w:val="0"/>
          <w:sz w:val="28"/>
        </w:rPr>
        <w:t>ER-диаграмма (от англ. Entity-Relationship, «сущность – связь») – графическая модель данных, в которой предметная область описывается совокупностью сущностей, их атрибутов и связей между ними. Сущность соответствует таблице базы данных, атрибут – её столбцу, связь – ссылке одной таблицы на другую. На диаграмме показаны основные сущности предметной области и основные связи между ними. Справочники, сессии, коды подтверждения, настройки, журнал действий и другие вспомогательные таблицы на рисунке опущены для читаемости, их полный состав приведён в SQL-скрипте создания базы данных (приложение).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54747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r-diagram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54747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240" w:before="0"/>
        <w:jc w:val="center"/>
      </w:pPr>
      <w:r>
        <w:rPr>
          <w:rFonts w:ascii="Times New Roman" w:hAnsi="Times New Roman"/>
          <w:b w:val="0"/>
          <w:sz w:val="28"/>
        </w:rPr>
        <w:t>Рисунок 1.12 – ER-диаграмма информационной модели программного средства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b w:val="0"/>
          <w:sz w:val="28"/>
        </w:rPr>
        <w:t>Четырнадцать основных сущностей образуют четыре группы. Группа доступа включает сущности «Роль», «Пользователь» и «Клиент» и определяет, кто работает с системой и что ему разрешено. Ядро учёта образуют «Счёт», «Документ» и «Проводка»: они реализуют принцип двойной записи, по которому любая операция отражается одновременно по дебету одного счёта и кредиту другого. Группа операций состоит из сущностей «Заявка на перевод», «Платёж» и «Карта». Группа продуктов описывает вклады и кредиты: «Продукт вклада», «Вклад», «Кредитный продукт», «Кредитная заявка» и «Кредит». Назначение и основные атрибуты сущностей приведены в таблице 1.6.</w:t>
      </w:r>
    </w:p>
    <w:p>
      <w:pPr>
        <w:keepNext/>
        <w:spacing w:line="360" w:lineRule="auto" w:after="120" w:before="0"/>
        <w:jc w:val="left"/>
      </w:pPr>
      <w:r>
        <w:rPr>
          <w:rFonts w:ascii="Times New Roman" w:hAnsi="Times New Roman"/>
          <w:b w:val="0"/>
          <w:sz w:val="28"/>
        </w:rPr>
        <w:t>Таблица 1.6 – Описание сущностей информационной модели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rPr>
          <w:tblHeader w:val="true"/>
        </w:trPr>
        <w:tc>
          <w:tcPr>
            <w:tcW w:type="dxa" w:w="2154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Сущность</w:t>
            </w:r>
          </w:p>
        </w:tc>
        <w:tc>
          <w:tcPr>
            <w:tcW w:type="dxa" w:w="45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Назначение</w:t>
            </w:r>
          </w:p>
        </w:tc>
        <w:tc>
          <w:tcPr>
            <w:tcW w:type="dxa" w:w="266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Основные атрибуты</w:t>
            </w:r>
          </w:p>
        </w:tc>
      </w:tr>
      <w:tr>
        <w:tc>
          <w:tcPr>
            <w:tcW w:type="dxa" w:w="215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Роль (roles)</w:t>
            </w:r>
          </w:p>
        </w:tc>
        <w:tc>
          <w:tcPr>
            <w:tcW w:type="dxa" w:w="4535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Категория пользователя системы с набором прав: клиент, операционист, кредитный специалист, специалист по мониторингу, администратор</w:t>
            </w:r>
          </w:p>
        </w:tc>
        <w:tc>
          <w:tcPr>
            <w:tcW w:type="dxa" w:w="2665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код роли, наименование</w:t>
            </w:r>
          </w:p>
        </w:tc>
      </w:tr>
      <w:tr>
        <w:tc>
          <w:tcPr>
            <w:tcW w:type="dxa" w:w="215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Пользователь (users)</w:t>
            </w:r>
          </w:p>
        </w:tc>
        <w:tc>
          <w:tcPr>
            <w:tcW w:type="dxa" w:w="4535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Учётная запись для входа в систему; принадлежит одной роли</w:t>
            </w:r>
          </w:p>
        </w:tc>
        <w:tc>
          <w:tcPr>
            <w:tcW w:type="dxa" w:w="2665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логин, хэш пароля, роль, статус, число неудачных входов</w:t>
            </w:r>
          </w:p>
        </w:tc>
      </w:tr>
      <w:tr>
        <w:tc>
          <w:tcPr>
            <w:tcW w:type="dxa" w:w="215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Клиент (clients)</w:t>
            </w:r>
          </w:p>
        </w:tc>
        <w:tc>
          <w:tcPr>
            <w:tcW w:type="dxa" w:w="4535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Физическое лицо, подключённое к дистанционному банковскому обслуживанию; связано с учётной записью пользователя. Паспортные данные и идентификационный номер хранятся в зашифрованном виде</w:t>
            </w:r>
          </w:p>
        </w:tc>
        <w:tc>
          <w:tcPr>
            <w:tcW w:type="dxa" w:w="2665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фамилия, имя, отчество, дата рождения</w:t>
            </w:r>
          </w:p>
        </w:tc>
      </w:tr>
      <w:tr>
        <w:tc>
          <w:tcPr>
            <w:tcW w:type="dxa" w:w="215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Счёт (accounts)</w:t>
            </w:r>
          </w:p>
        </w:tc>
        <w:tc>
          <w:tcPr>
            <w:tcW w:type="dxa" w:w="4535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Банковский счёт клиента (текущий, накопительный, вкладной, ссудный) либо внутренний счёт банка (касса, корреспондентский счёт, счета доходов и расходов), у которого владельца нет</w:t>
            </w:r>
          </w:p>
        </w:tc>
        <w:tc>
          <w:tcPr>
            <w:tcW w:type="dxa" w:w="2665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номер IBAN, владелец, балансовый счёт, вид, наименование</w:t>
            </w:r>
          </w:p>
        </w:tc>
      </w:tr>
      <w:tr>
        <w:tc>
          <w:tcPr>
            <w:tcW w:type="dxa" w:w="215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Документ (documents)</w:t>
            </w:r>
          </w:p>
        </w:tc>
        <w:tc>
          <w:tcPr>
            <w:tcW w:type="dxa" w:w="4535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Банковская операция как единое целое; объединяет все проводки одной операции. Уникальный ключ идемпотентности не позволяет выполнить одну операцию дважды</w:t>
            </w:r>
          </w:p>
        </w:tc>
        <w:tc>
          <w:tcPr>
            <w:tcW w:type="dxa" w:w="2665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тип, статус, ключ идемпотентности, банковская дата</w:t>
            </w:r>
          </w:p>
        </w:tc>
      </w:tr>
      <w:tr>
        <w:tc>
          <w:tcPr>
            <w:tcW w:type="dxa" w:w="215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Проводка (postings)</w:t>
            </w:r>
          </w:p>
        </w:tc>
        <w:tc>
          <w:tcPr>
            <w:tcW w:type="dxa" w:w="4535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Запись двойной записи: сумма, списываемая с одного счёта (дебет) и зачисляемая на другой (кредит). Остаток счёта определяется проводками</w:t>
            </w:r>
          </w:p>
        </w:tc>
        <w:tc>
          <w:tcPr>
            <w:tcW w:type="dxa" w:w="2665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документ, счёт дебета, счёт кредита, сумма, банковская дата</w:t>
            </w:r>
          </w:p>
        </w:tc>
      </w:tr>
      <w:tr>
        <w:tc>
          <w:tcPr>
            <w:tcW w:type="dxa" w:w="215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Заявка на перевод (transfer_intents)</w:t>
            </w:r>
          </w:p>
        </w:tc>
        <w:tc>
          <w:tcPr>
            <w:tcW w:type="dxa" w:w="4535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Намерение клиента выполнить перевод; существует до подтверждения кодом и проверок антифрода, после проведения связывается с документом</w:t>
            </w:r>
          </w:p>
        </w:tc>
        <w:tc>
          <w:tcPr>
            <w:tcW w:type="dxa" w:w="2665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вид (между своими счетами или клиенту), счёт списания, сумма, сумма в BYN, комиссия, документ</w:t>
            </w:r>
          </w:p>
        </w:tc>
      </w:tr>
      <w:tr>
        <w:tc>
          <w:tcPr>
            <w:tcW w:type="dxa" w:w="215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Платёж (payments)</w:t>
            </w:r>
          </w:p>
        </w:tc>
        <w:tc>
          <w:tcPr>
            <w:tcW w:type="dxa" w:w="4535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Оплата услуги по каталогу поставщиков, выполненная со счёта клиента</w:t>
            </w:r>
          </w:p>
        </w:tc>
        <w:tc>
          <w:tcPr>
            <w:tcW w:type="dxa" w:w="2665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поставщик, счёт списания, сумма, комиссия, реквизит, документ</w:t>
            </w:r>
          </w:p>
        </w:tc>
      </w:tr>
      <w:tr>
        <w:tc>
          <w:tcPr>
            <w:tcW w:type="dxa" w:w="215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Карта (cards)</w:t>
            </w:r>
          </w:p>
        </w:tc>
        <w:tc>
          <w:tcPr>
            <w:tcW w:type="dxa" w:w="4535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Банковская платёжная карта, привязанная к счёту. Номер хранится в зашифрованном виде, для поиска используется хэш номера</w:t>
            </w:r>
          </w:p>
        </w:tc>
        <w:tc>
          <w:tcPr>
            <w:tcW w:type="dxa" w:w="2665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счёт, платёжная система, зашифрованный номер, хэш номера, последние четыре цифры</w:t>
            </w:r>
          </w:p>
        </w:tc>
      </w:tr>
      <w:tr>
        <w:tc>
          <w:tcPr>
            <w:tcW w:type="dxa" w:w="215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Продукт вклада (deposit_products)</w:t>
            </w:r>
          </w:p>
        </w:tc>
        <w:tc>
          <w:tcPr>
            <w:tcW w:type="dxa" w:w="4535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Условия вклада, предлагаемые банком: срок, ставка, валюта, возможность капитализации и досрочного расторжения</w:t>
            </w:r>
          </w:p>
        </w:tc>
        <w:tc>
          <w:tcPr>
            <w:tcW w:type="dxa" w:w="2665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наименование, валюта, срок, ставка</w:t>
            </w:r>
          </w:p>
        </w:tc>
      </w:tr>
      <w:tr>
        <w:tc>
          <w:tcPr>
            <w:tcW w:type="dxa" w:w="215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Вклад (deposits)</w:t>
            </w:r>
          </w:p>
        </w:tc>
        <w:tc>
          <w:tcPr>
            <w:tcW w:type="dxa" w:w="4535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Договор вклада конкретного клиента; ставки фиксируются на дату открытия</w:t>
            </w:r>
          </w:p>
        </w:tc>
        <w:tc>
          <w:tcPr>
            <w:tcW w:type="dxa" w:w="2665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клиент, продукт, счёт вклада, валюта, сумма, ставка, ставка «до востребования»</w:t>
            </w:r>
          </w:p>
        </w:tc>
      </w:tr>
      <w:tr>
        <w:tc>
          <w:tcPr>
            <w:tcW w:type="dxa" w:w="215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Кредитный продукт (loan_products)</w:t>
            </w:r>
          </w:p>
        </w:tc>
        <w:tc>
          <w:tcPr>
            <w:tcW w:type="dxa" w:w="4535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Условия кредита, предлагаемые банком: ставка, границы суммы и срока</w:t>
            </w:r>
          </w:p>
        </w:tc>
        <w:tc>
          <w:tcPr>
            <w:tcW w:type="dxa" w:w="2665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наименование, ставка, минимальная и максимальная сумма</w:t>
            </w:r>
          </w:p>
        </w:tc>
      </w:tr>
      <w:tr>
        <w:tc>
          <w:tcPr>
            <w:tcW w:type="dxa" w:w="215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Кредитная заявка (loan_applications)</w:t>
            </w:r>
          </w:p>
        </w:tc>
        <w:tc>
          <w:tcPr>
            <w:tcW w:type="dxa" w:w="4535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Заявка клиента на кредит с результатом оценки кредитоспособности (скоринговый балл, вероятность дефолта, долговая нагрузка) и решением</w:t>
            </w:r>
          </w:p>
        </w:tc>
        <w:tc>
          <w:tcPr>
            <w:tcW w:type="dxa" w:w="2665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клиент, продукт, сумма, срок, вид графика, ставка</w:t>
            </w:r>
          </w:p>
        </w:tc>
      </w:tr>
      <w:tr>
        <w:tc>
          <w:tcPr>
            <w:tcW w:type="dxa" w:w="215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Кредит (loans)</w:t>
            </w:r>
          </w:p>
        </w:tc>
        <w:tc>
          <w:tcPr>
            <w:tcW w:type="dxa" w:w="4535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Кредитный договор, возникший по одобренной и подписанной заявке; обслуживается по графику платежей</w:t>
            </w:r>
          </w:p>
        </w:tc>
        <w:tc>
          <w:tcPr>
            <w:tcW w:type="dxa" w:w="2665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заявка, ссудный счёт, сумма, ставка, срок, вид графика</w:t>
            </w:r>
          </w:p>
        </w:tc>
      </w:tr>
    </w:tbl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sz w:val="28"/>
        </w:rPr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b w:val="0"/>
          <w:sz w:val="28"/>
        </w:rPr>
        <w:t>Связи между сущностями приведены в таблице 1.7. Все они реализованы внешними ключами, поэтому база данных не допускает ссылок на несуществующие записи: нельзя создать проводку по отсутствующему счёту или вклад без клиента.</w:t>
      </w:r>
    </w:p>
    <w:p>
      <w:pPr>
        <w:keepNext/>
        <w:spacing w:line="360" w:lineRule="auto" w:after="120" w:before="0"/>
        <w:jc w:val="left"/>
      </w:pPr>
      <w:r>
        <w:rPr>
          <w:rFonts w:ascii="Times New Roman" w:hAnsi="Times New Roman"/>
          <w:b w:val="0"/>
          <w:sz w:val="28"/>
        </w:rPr>
        <w:t>Таблица 1.7 – Описание связей информационной модели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rPr>
          <w:tblHeader w:val="true"/>
        </w:trPr>
        <w:tc>
          <w:tcPr>
            <w:tcW w:type="dxa" w:w="2154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Родительская сущность</w:t>
            </w:r>
          </w:p>
        </w:tc>
        <w:tc>
          <w:tcPr>
            <w:tcW w:type="dxa" w:w="221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Дочерняя сущность</w:t>
            </w:r>
          </w:p>
        </w:tc>
        <w:tc>
          <w:tcPr>
            <w:tcW w:type="dxa" w:w="124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Кратность</w:t>
            </w:r>
          </w:p>
        </w:tc>
        <w:tc>
          <w:tcPr>
            <w:tcW w:type="dxa" w:w="3742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Смысл связи</w:t>
            </w:r>
          </w:p>
        </w:tc>
      </w:tr>
      <w:tr>
        <w:tc>
          <w:tcPr>
            <w:tcW w:type="dxa" w:w="215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Роль</w:t>
            </w:r>
          </w:p>
        </w:tc>
        <w:tc>
          <w:tcPr>
            <w:tcW w:type="dxa" w:w="2211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Пользователь</w:t>
            </w:r>
          </w:p>
        </w:tc>
        <w:tc>
          <w:tcPr>
            <w:tcW w:type="dxa" w:w="1247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1 : M</w:t>
            </w:r>
          </w:p>
        </w:tc>
        <w:tc>
          <w:tcPr>
            <w:tcW w:type="dxa" w:w="374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каждый пользователь имеет одну роль, ролью обладают многие пользователи</w:t>
            </w:r>
          </w:p>
        </w:tc>
      </w:tr>
      <w:tr>
        <w:tc>
          <w:tcPr>
            <w:tcW w:type="dxa" w:w="215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Пользователь</w:t>
            </w:r>
          </w:p>
        </w:tc>
        <w:tc>
          <w:tcPr>
            <w:tcW w:type="dxa" w:w="2211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Клиент</w:t>
            </w:r>
          </w:p>
        </w:tc>
        <w:tc>
          <w:tcPr>
            <w:tcW w:type="dxa" w:w="1247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1 : 1</w:t>
            </w:r>
          </w:p>
        </w:tc>
        <w:tc>
          <w:tcPr>
            <w:tcW w:type="dxa" w:w="374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клиент имеет одну учётную запись; у сотрудников банка записи клиента нет</w:t>
            </w:r>
          </w:p>
        </w:tc>
      </w:tr>
      <w:tr>
        <w:tc>
          <w:tcPr>
            <w:tcW w:type="dxa" w:w="215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Клиент</w:t>
            </w:r>
          </w:p>
        </w:tc>
        <w:tc>
          <w:tcPr>
            <w:tcW w:type="dxa" w:w="2211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Счёт</w:t>
            </w:r>
          </w:p>
        </w:tc>
        <w:tc>
          <w:tcPr>
            <w:tcW w:type="dxa" w:w="1247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1 : M</w:t>
            </w:r>
          </w:p>
        </w:tc>
        <w:tc>
          <w:tcPr>
            <w:tcW w:type="dxa" w:w="374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клиент владеет несколькими счетами; у внутренних счетов банка владельца нет</w:t>
            </w:r>
          </w:p>
        </w:tc>
      </w:tr>
      <w:tr>
        <w:tc>
          <w:tcPr>
            <w:tcW w:type="dxa" w:w="215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Клиент</w:t>
            </w:r>
          </w:p>
        </w:tc>
        <w:tc>
          <w:tcPr>
            <w:tcW w:type="dxa" w:w="2211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Вклад</w:t>
            </w:r>
          </w:p>
        </w:tc>
        <w:tc>
          <w:tcPr>
            <w:tcW w:type="dxa" w:w="1247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1 : M</w:t>
            </w:r>
          </w:p>
        </w:tc>
        <w:tc>
          <w:tcPr>
            <w:tcW w:type="dxa" w:w="374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клиент может иметь несколько вкладов</w:t>
            </w:r>
          </w:p>
        </w:tc>
      </w:tr>
      <w:tr>
        <w:tc>
          <w:tcPr>
            <w:tcW w:type="dxa" w:w="215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Клиент</w:t>
            </w:r>
          </w:p>
        </w:tc>
        <w:tc>
          <w:tcPr>
            <w:tcW w:type="dxa" w:w="2211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Кредитная заявка</w:t>
            </w:r>
          </w:p>
        </w:tc>
        <w:tc>
          <w:tcPr>
            <w:tcW w:type="dxa" w:w="1247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1 : M</w:t>
            </w:r>
          </w:p>
        </w:tc>
        <w:tc>
          <w:tcPr>
            <w:tcW w:type="dxa" w:w="374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клиент может подавать несколько заявок</w:t>
            </w:r>
          </w:p>
        </w:tc>
      </w:tr>
      <w:tr>
        <w:tc>
          <w:tcPr>
            <w:tcW w:type="dxa" w:w="215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Счёт</w:t>
            </w:r>
          </w:p>
        </w:tc>
        <w:tc>
          <w:tcPr>
            <w:tcW w:type="dxa" w:w="2211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Проводка (по дебету)</w:t>
            </w:r>
          </w:p>
        </w:tc>
        <w:tc>
          <w:tcPr>
            <w:tcW w:type="dxa" w:w="1247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1 : M</w:t>
            </w:r>
          </w:p>
        </w:tc>
        <w:tc>
          <w:tcPr>
            <w:tcW w:type="dxa" w:w="374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по счёту выполняется много списаний</w:t>
            </w:r>
          </w:p>
        </w:tc>
      </w:tr>
      <w:tr>
        <w:tc>
          <w:tcPr>
            <w:tcW w:type="dxa" w:w="215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Счёт</w:t>
            </w:r>
          </w:p>
        </w:tc>
        <w:tc>
          <w:tcPr>
            <w:tcW w:type="dxa" w:w="2211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Проводка (по кредиту)</w:t>
            </w:r>
          </w:p>
        </w:tc>
        <w:tc>
          <w:tcPr>
            <w:tcW w:type="dxa" w:w="1247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1 : M</w:t>
            </w:r>
          </w:p>
        </w:tc>
        <w:tc>
          <w:tcPr>
            <w:tcW w:type="dxa" w:w="374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по счёту выполняется много зачислений</w:t>
            </w:r>
          </w:p>
        </w:tc>
      </w:tr>
      <w:tr>
        <w:tc>
          <w:tcPr>
            <w:tcW w:type="dxa" w:w="215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Документ</w:t>
            </w:r>
          </w:p>
        </w:tc>
        <w:tc>
          <w:tcPr>
            <w:tcW w:type="dxa" w:w="2211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Проводка</w:t>
            </w:r>
          </w:p>
        </w:tc>
        <w:tc>
          <w:tcPr>
            <w:tcW w:type="dxa" w:w="1247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1 : M</w:t>
            </w:r>
          </w:p>
        </w:tc>
        <w:tc>
          <w:tcPr>
            <w:tcW w:type="dxa" w:w="374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операция состоит из нескольких проводок, сумма дебета которых равна сумме кредита</w:t>
            </w:r>
          </w:p>
        </w:tc>
      </w:tr>
      <w:tr>
        <w:tc>
          <w:tcPr>
            <w:tcW w:type="dxa" w:w="215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Счёт</w:t>
            </w:r>
          </w:p>
        </w:tc>
        <w:tc>
          <w:tcPr>
            <w:tcW w:type="dxa" w:w="2211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Заявка на перевод</w:t>
            </w:r>
          </w:p>
        </w:tc>
        <w:tc>
          <w:tcPr>
            <w:tcW w:type="dxa" w:w="1247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1 : M</w:t>
            </w:r>
          </w:p>
        </w:tc>
        <w:tc>
          <w:tcPr>
            <w:tcW w:type="dxa" w:w="374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со счёта списания можно создать много заявок</w:t>
            </w:r>
          </w:p>
        </w:tc>
      </w:tr>
      <w:tr>
        <w:tc>
          <w:tcPr>
            <w:tcW w:type="dxa" w:w="215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Документ</w:t>
            </w:r>
          </w:p>
        </w:tc>
        <w:tc>
          <w:tcPr>
            <w:tcW w:type="dxa" w:w="2211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Заявка на перевод</w:t>
            </w:r>
          </w:p>
        </w:tc>
        <w:tc>
          <w:tcPr>
            <w:tcW w:type="dxa" w:w="1247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1 : M</w:t>
            </w:r>
          </w:p>
        </w:tc>
        <w:tc>
          <w:tcPr>
            <w:tcW w:type="dxa" w:w="374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проведённая заявка связывается с документом операции</w:t>
            </w:r>
          </w:p>
        </w:tc>
      </w:tr>
      <w:tr>
        <w:tc>
          <w:tcPr>
            <w:tcW w:type="dxa" w:w="215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Счёт</w:t>
            </w:r>
          </w:p>
        </w:tc>
        <w:tc>
          <w:tcPr>
            <w:tcW w:type="dxa" w:w="2211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Платёж</w:t>
            </w:r>
          </w:p>
        </w:tc>
        <w:tc>
          <w:tcPr>
            <w:tcW w:type="dxa" w:w="1247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1 : M</w:t>
            </w:r>
          </w:p>
        </w:tc>
        <w:tc>
          <w:tcPr>
            <w:tcW w:type="dxa" w:w="374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со счёта выполняется много платежей</w:t>
            </w:r>
          </w:p>
        </w:tc>
      </w:tr>
      <w:tr>
        <w:tc>
          <w:tcPr>
            <w:tcW w:type="dxa" w:w="215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Документ</w:t>
            </w:r>
          </w:p>
        </w:tc>
        <w:tc>
          <w:tcPr>
            <w:tcW w:type="dxa" w:w="2211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Платёж</w:t>
            </w:r>
          </w:p>
        </w:tc>
        <w:tc>
          <w:tcPr>
            <w:tcW w:type="dxa" w:w="1247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1 : M</w:t>
            </w:r>
          </w:p>
        </w:tc>
        <w:tc>
          <w:tcPr>
            <w:tcW w:type="dxa" w:w="374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каждый платёж отражается документом операции</w:t>
            </w:r>
          </w:p>
        </w:tc>
      </w:tr>
      <w:tr>
        <w:tc>
          <w:tcPr>
            <w:tcW w:type="dxa" w:w="215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Счёт</w:t>
            </w:r>
          </w:p>
        </w:tc>
        <w:tc>
          <w:tcPr>
            <w:tcW w:type="dxa" w:w="2211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Карта</w:t>
            </w:r>
          </w:p>
        </w:tc>
        <w:tc>
          <w:tcPr>
            <w:tcW w:type="dxa" w:w="1247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1 : M</w:t>
            </w:r>
          </w:p>
        </w:tc>
        <w:tc>
          <w:tcPr>
            <w:tcW w:type="dxa" w:w="374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к счёту можно выпустить несколько карт</w:t>
            </w:r>
          </w:p>
        </w:tc>
      </w:tr>
      <w:tr>
        <w:tc>
          <w:tcPr>
            <w:tcW w:type="dxa" w:w="215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Продукт вклада</w:t>
            </w:r>
          </w:p>
        </w:tc>
        <w:tc>
          <w:tcPr>
            <w:tcW w:type="dxa" w:w="2211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Вклад</w:t>
            </w:r>
          </w:p>
        </w:tc>
        <w:tc>
          <w:tcPr>
            <w:tcW w:type="dxa" w:w="1247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1 : M</w:t>
            </w:r>
          </w:p>
        </w:tc>
        <w:tc>
          <w:tcPr>
            <w:tcW w:type="dxa" w:w="374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по одному продукту открывается много вкладов</w:t>
            </w:r>
          </w:p>
        </w:tc>
      </w:tr>
      <w:tr>
        <w:tc>
          <w:tcPr>
            <w:tcW w:type="dxa" w:w="215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Счёт</w:t>
            </w:r>
          </w:p>
        </w:tc>
        <w:tc>
          <w:tcPr>
            <w:tcW w:type="dxa" w:w="2211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Вклад</w:t>
            </w:r>
          </w:p>
        </w:tc>
        <w:tc>
          <w:tcPr>
            <w:tcW w:type="dxa" w:w="1247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1 : M</w:t>
            </w:r>
          </w:p>
        </w:tc>
        <w:tc>
          <w:tcPr>
            <w:tcW w:type="dxa" w:w="374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вклад учитывается на отдельном счёте</w:t>
            </w:r>
          </w:p>
        </w:tc>
      </w:tr>
      <w:tr>
        <w:tc>
          <w:tcPr>
            <w:tcW w:type="dxa" w:w="215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Кредитный продукт</w:t>
            </w:r>
          </w:p>
        </w:tc>
        <w:tc>
          <w:tcPr>
            <w:tcW w:type="dxa" w:w="2211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Кредитная заявка</w:t>
            </w:r>
          </w:p>
        </w:tc>
        <w:tc>
          <w:tcPr>
            <w:tcW w:type="dxa" w:w="1247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1 : M</w:t>
            </w:r>
          </w:p>
        </w:tc>
        <w:tc>
          <w:tcPr>
            <w:tcW w:type="dxa" w:w="374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по одному продукту подаётся много заявок</w:t>
            </w:r>
          </w:p>
        </w:tc>
      </w:tr>
      <w:tr>
        <w:tc>
          <w:tcPr>
            <w:tcW w:type="dxa" w:w="215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Кредитная заявка</w:t>
            </w:r>
          </w:p>
        </w:tc>
        <w:tc>
          <w:tcPr>
            <w:tcW w:type="dxa" w:w="2211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Кредит</w:t>
            </w:r>
          </w:p>
        </w:tc>
        <w:tc>
          <w:tcPr>
            <w:tcW w:type="dxa" w:w="1247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1 : 1</w:t>
            </w:r>
          </w:p>
        </w:tc>
        <w:tc>
          <w:tcPr>
            <w:tcW w:type="dxa" w:w="374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кредит выдаётся по одной одобренной и подписанной заявке</w:t>
            </w:r>
          </w:p>
        </w:tc>
      </w:tr>
      <w:tr>
        <w:tc>
          <w:tcPr>
            <w:tcW w:type="dxa" w:w="215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Счёт</w:t>
            </w:r>
          </w:p>
        </w:tc>
        <w:tc>
          <w:tcPr>
            <w:tcW w:type="dxa" w:w="2211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Кредит</w:t>
            </w:r>
          </w:p>
        </w:tc>
        <w:tc>
          <w:tcPr>
            <w:tcW w:type="dxa" w:w="1247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1 : M</w:t>
            </w:r>
          </w:p>
        </w:tc>
        <w:tc>
          <w:tcPr>
            <w:tcW w:type="dxa" w:w="374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кредит учитывается на ссудном счёте</w:t>
            </w:r>
          </w:p>
        </w:tc>
      </w:tr>
    </w:tbl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sz w:val="28"/>
        </w:rPr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b w:val="0"/>
          <w:sz w:val="28"/>
        </w:rPr>
        <w:t>При проектировании модели приняты следующие решения. Денежные суммы хранятся целыми числами в минимальных единицах валюты (копейках), что исключает ошибки округления, свойственные числам с плавающей точкой. Остаток счёта не вводится независимо, а определяется проводками: он равен разности оборотов по кредиту и дебету, и значение остатка в таблице счетов изменяется только вместе с проводкой в одной транзакции. Проводки и записи журнала действий после создания не изменяются и не удаляются: запрет задан триггерами базы данных, поэтому ошибочную операцию исправляют обратной проводкой (сторно), а история остаётся полной.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b w:val="0"/>
          <w:sz w:val="28"/>
        </w:rPr>
        <w:t>Целостность данных обеспечивается на нескольких уровнях. Внешние ключи гарантируют ссылочную целостность, ограничения CHECK задают допустимые значения (например, вид счёта и статус операции), а уникальные индексы исключают дубликаты номера IBAN и ключа идемпотентности. Для внутренних счетов банка ограничение требует, чтобы владелец отсутствовал, а для счетов клиентов – чтобы он был указан. На счетах клиентов, кроме ссудных, остаток не может стать отрицательным.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b w:val="0"/>
          <w:sz w:val="28"/>
        </w:rPr>
        <w:t>Ставка по вкладу и кредиту указана и в сущности продукта, и в договоре (вклад, кредит), то есть данные намеренно повторяются. Это осознанное отступление от третьей нормальной формы: банк может изменить ставку продукта, но условия уже заключённого договора должны остаться прежними, поэтому ставка фиксируется в договоре на дату его заключения. В остальном модель приведена к третьей нормальной форме: каждый неключевой атрибут зависит только от ключа своей сущности.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b w:val="0"/>
          <w:sz w:val="28"/>
        </w:rPr>
        <w:t>Персональные данные защищены на уровне хранения: паспортные данные и идентификационный номер клиента, а также номер карты хранятся в зашифрованном виде алгоритмом AES-256-GCM, пароли – в виде хэш-значений. Для поиска по номеру карты и идентификационному номеру используются отдельные хэши, поэтому расшифровывать данные для поиска не требуется.</w:t>
      </w:r>
    </w:p>
    <w:sectPr w:rsidR="00FC693F" w:rsidRPr="0006063C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