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360" w:lineRule="auto" w:after="0" w:before="0"/>
        <w:ind w:firstLine="709"/>
        <w:jc w:val="both"/>
      </w:pPr>
      <w:r>
        <w:rPr>
          <w:rFonts w:ascii="Times New Roman" w:hAnsi="Times New Roman"/>
          <w:b/>
          <w:sz w:val="28"/>
        </w:rPr>
        <w:t>1.5 UML-модели представления программного средства и их описание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Модели представления показывают программное средство с разных точек зрения: кто и для чего им пользуется, как взаимодействуют его части, в какой последовательности выполняются действия, какие состояния принимает объект и как система размещается на оборудовании. Для описания использован унифицированный язык моделирования UML, построено по одной диаграмме каждого вида. Диаграммы последовательности, деятельности и состояний посвящены оформлению кредита – наиболее сложному процессу системы (подраздел 1.2). Диаграмма классов и ER-диаграмма приведены в подразделе 1.4.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Состояния заявки на кредит показаны на рисунке 1.13, названия состояний совпадают со значениями поля статуса в базе данных.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745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st-lo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745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1.13 – Диаграмма состояний: заявка на кредит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Заявка получает начальное состояние по результату проверки: approved при автоодобрении, manual_review при ручном рассмотрении, rejected при отказе. Специалист переводит заявку из manual_review в approved или rejected. Одобренная заявка после подписания договора кодом становится signed.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Функции системы с точки зрения внешних участников показаны на диаграмме вариантов использования (рисунок 1.14).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66933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u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6693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1.14 – Диаграмма вариантов использования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Актёры соответствуют участникам процесса из таблицы 1.2. Гость просматривает курсы валют, пользуется калькуляторами и подаёт анкету. Клиент после проверки анкеты работает со счетами, переводами, платежами, вкладами, кредитами и картами; подача заявки на кредит включает скоринг, а перевод и подписание кредитного договора включают подтверждение одноразовым кодом. Сотрудники банка работают в рабочих местах, состав которых определяется ролью, администратор настраивает систему и контролирует её работу.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Последовательность оформления кредита показана на рисунке 1.15.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69775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seq-lo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6977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1.15 – Диаграмма последовательности: заявка на кредит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Контроллер принимает заявку клиента и вызывает сервис кредитов. Сервис рассчитывает график платежей и долговую нагрузку и передаёт данные сервису скоринга, который возвращает вероятность дефолта. При вероятности до 8 % и сумме в пределах лимита заявка одобряется автоматически, при вероятности до 30 % её рассматривает кредитный специалист, в остальных случаях выдаётся отказ. Одобренную заявку клиент подписывает кодом из письма, который выдаёт и проверяет сервис одноразовых кодов, после чего сервис учёта выполняет проводку выдачи кредита.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Порядок действий и их распределение между участниками показаны на рисунке 1.16.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69242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act-lo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692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1.16 – Диаграмма деятельности: оформление кредита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Диаграмма деятельности дополняет функциональную модель из подраздела 1.2. Система рассчитывает график и долговую нагрузку: при нагрузке выше 40 % следует отказ. Затем скоринг определяет вероятность дефолта и направляет заявку по одной из ветвей: автоодобрение, ручное рассмотрение кредитным специалистом или отказ. После одобрения клиент подписывает договор кодом, и система выдаёт кредит: открывает ссудный счёт, формирует график и зачисляет деньги.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Структура программного средства показана на диаграмме компонентов (рисунок 1.17).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30271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componen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027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1.17 – Диаграмма компонентов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Браузер получает страницы и клиентский JavaScript по HTTPS. На сервере запрос проходит через промежуточные слои (сессии, защита от подделки запросов, проверка прав, обязательная двухфакторная защита сотрудников), затем маршруты передают его контроллеру. Контроллер вызывает сервисы с бизнес-логикой и формирует ответ с помощью представлений EJS. Сервисы работают с базой данных PostgreSQL через модели с SQL-запросами, получают курсы валют по HTTPS от Национального банка и отправляют письма через SMTP-сервер. Фоновые задачи создают зашифрованные резервные копии и отправляют письма из очереди.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Размещение программного средства на оборудовании показано на диаграмме развёртывания (рисунок 1.18).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9704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deploy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970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1.18 – Диаграмма развёртывания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Клиент работает в браузере на своём компьютере и обращается к серверу приложения по протоколу HTTPS: перед приложением стоит обратный прокси-сервер с сертификатом TLS. Приложение на Node.js обращается к серверу базы данных по протоколу PostgreSQL, к почтовому серверу по SMTP и к интерфейсу Национального банка за курсами валют. Резервные копии базы данных шифруются алгоритмом AES-256-GCM и хранятся отдельно от рабочей базы.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Построенные модели описывают программное средство с функциональной, динамической и физической точек зрения и согласованы между собой и с информационной моделью из подраздела 1.4: актёры и варианты использования соответствуют ролям и правам доступа, последовательность и состояния – статусам заявок в базе данных, компоненты – слоям программы.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