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line="360" w:lineRule="auto" w:after="240" w:before="0"/>
        <w:ind w:firstLine="709"/>
        <w:jc w:val="left"/>
      </w:pPr>
      <w:r>
        <w:rPr>
          <w:rFonts w:ascii="Times New Roman" w:hAnsi="Times New Roman"/>
          <w:b/>
          <w:sz w:val="28"/>
        </w:rPr>
        <w:t>1.4 Разработка информационной модели предметной области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Информационная модель определяет, какие данные хранит программное средство, как они устроены и как связаны между собой. От её качества зависят целостность денежных расчётов, возможность проверить любую операцию по записям и защита персональных данных клиентов. Модель построена в виде ER-диаграммы (диаграммы «сущность – связь») и приведена на рисунке 1.12.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ER-диаграмма (от англ. Entity-Relationship, «сущность – связь») – графическая модель данных, в которой предметная область описывается совокупностью сущностей, их атрибутов и связей между ними. Сущность соответствует таблице базы данных, атрибут – её столбцу, связь – ссылке одной таблицы на другую. На диаграмме показаны основные сущности предметной области и основные связи между ними. Справочники, сессии, коды подтверждения, настройки, журнал действий и другие вспомогательные таблицы на рисунке опущены для читаемости, их полный состав приведён в SQL-скрипте создания базы данных (приложение).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54747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-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474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b w:val="0"/>
          <w:sz w:val="28"/>
        </w:rPr>
        <w:t>Рисунок 1.12 – ER-диаграмма информационной модели программного средства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Четырнадцать основных сущностей образуют четыре группы. Группа доступа включает сущности «Роль», «Пользователь» и «Клиент» и определяет, кто работает с системой и что ему разрешено. Ядро учёта образуют «Счёт», «Документ» и «Проводка»: они реализуют принцип двойной записи, по которому любая операция отражается одновременно по дебету одного счёта и кредиту другого. Группа операций состоит из сущностей «Заявка на перевод», «Платёж» и «Карта». Группа продуктов описывает вклады и кредиты: «Продукт вклада», «Вклад», «Кредитный продукт», «Кредитная заявка» и «Кредит». Назначение и основные атрибуты сущностей приведены в таблице 1.6.</w:t>
      </w:r>
    </w:p>
    <w:p>
      <w:pPr>
        <w:keepNext/>
        <w:spacing w:line="360" w:lineRule="auto" w:after="120" w:before="0"/>
        <w:jc w:val="left"/>
      </w:pPr>
      <w:r>
        <w:rPr>
          <w:rFonts w:ascii="Times New Roman" w:hAnsi="Times New Roman"/>
          <w:b w:val="0"/>
          <w:sz w:val="28"/>
        </w:rPr>
        <w:t>Таблица 1.6 – Описание сущностей информационной модели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Сущность</w:t>
            </w:r>
          </w:p>
        </w:tc>
        <w:tc>
          <w:tcPr>
            <w:tcW w:type="dxa" w:w="45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  <w:tc>
          <w:tcPr>
            <w:tcW w:type="dxa" w:w="266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Основные атрибуты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Роль (roles)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Категория пользователя системы с набором прав: клиент, операционист, кредитный специалист, специалист по мониторингу, администратор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код роли, наименование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Пользователь (users)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Учётная запись для входа в систему; принадлежит одной роли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логин, хэш пароля, роль, статус, число неудачных входов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 (clients)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Физическое лицо, подключённое к дистанционному банковскому обслуживанию; связано с учётной записью пользователя. Паспортные данные и идентификационный номер хранятся в зашифрованном виде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фамилия, имя, отчество, дата рождения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 (accounts)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Банковский счёт клиента (текущий, накопительный, вкладной, ссудный) либо внутренний счёт банка (касса, корреспондентский счёт, счета доходов и расходов), у которого владельца нет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номер IBAN, владелец, балансовый счёт, вид, наименование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Документ (documents)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Банковская операция как единое целое; объединяет все проводки одной операции. Уникальный ключ идемпотентности не позволяет выполнить одну операцию дважды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тип, статус, ключ идемпотентности, банковская дата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Проводка (postings)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Запись двойной записи: сумма, списываемая с одного счёта (дебет) и зачисляемая на другой (кредит). Остаток счёта определяется проводками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документ, счёт дебета, счёт кредита, сумма, банковская дата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Заявка на перевод (transfer_intents)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Намерение клиента выполнить перевод; существует до подтверждения кодом и проверок антифрода, после проведения связывается с документом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вид (между своими счетами или клиенту), счёт списания, сумма, сумма в BYN, комиссия, документ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Платёж (payments)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Оплата услуги по каталогу поставщиков, выполненная со счёта клиента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поставщик, счёт списания, сумма, комиссия, реквизит, документ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Карта (cards)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Банковская платёжная карта, привязанная к счёту. Номер хранится в зашифрованном виде, для поиска используется хэш номера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счёт, платёжная система, зашифрованный номер, хэш номера, последние четыре цифры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Продукт вклада (deposit_products)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Условия вклада, предлагаемые банком: срок, ставка, валюта, возможность капитализации и досрочного расторжения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наименование, валюта, срок, ставка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Вклад (deposits)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Договор вклада конкретного клиента; ставки фиксируются на дату открытия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клиент, продукт, счёт вклада, валюта, сумма, ставка, ставка «до востребования»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Кредитный продукт (loan_products)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Условия кредита, предлагаемые банком: ставка, границы суммы и срока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наименование, ставка, минимальная и максимальная сумма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Кредитная заявка (loan_applications)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Заявка клиента на кредит с результатом оценки кредитоспособности (скоринговый балл, вероятность дефолта, долговая нагрузка) и решением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клиент, продукт, сумма, срок, вид графика, ставка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 (loans)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Кредитный договор, возникший по одобренной и подписанной заявке; обслуживается по графику платежей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заявка, ссудный счёт, сумма, ставка, срок, вид графика</w:t>
            </w:r>
          </w:p>
        </w:tc>
      </w:tr>
    </w:tbl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sz w:val="28"/>
        </w:rPr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Связи между сущностями приведены в таблице 1.7. Все они реализованы внешними ключами, поэтому база данных не допускает ссылок на несуществующие записи: нельзя создать проводку по отсутствующему счёту или вклад без клиента.</w:t>
      </w:r>
    </w:p>
    <w:p>
      <w:pPr>
        <w:keepNext/>
        <w:spacing w:line="360" w:lineRule="auto" w:after="120" w:before="0"/>
        <w:jc w:val="left"/>
      </w:pPr>
      <w:r>
        <w:rPr>
          <w:rFonts w:ascii="Times New Roman" w:hAnsi="Times New Roman"/>
          <w:b w:val="0"/>
          <w:sz w:val="28"/>
        </w:rPr>
        <w:t>Таблица 1.7 – Описание связей информационной модели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154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Родительская сущность</w:t>
            </w:r>
          </w:p>
        </w:tc>
        <w:tc>
          <w:tcPr>
            <w:tcW w:type="dxa" w:w="221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Дочерняя сущность</w:t>
            </w:r>
          </w:p>
        </w:tc>
        <w:tc>
          <w:tcPr>
            <w:tcW w:type="dxa" w:w="124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Кратность</w:t>
            </w:r>
          </w:p>
        </w:tc>
        <w:tc>
          <w:tcPr>
            <w:tcW w:type="dxa" w:w="3742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Смысл связи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Роль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Пользователь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каждый пользователь имеет одну роль, ролью обладают многие пользователи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Пользователь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1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 имеет одну учётную запись; у сотрудников банка записи клиента нет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 владеет несколькими счетами; у внутренних счетов банка владельца нет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Вклад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 может иметь несколько вкладов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Кредитная заявка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 может подавать несколько заявок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Проводка (по дебету)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по счёту выполняется много списаний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Проводка (по кредиту)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по счёту выполняется много зачислений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Документ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Проводка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операция состоит из нескольких проводок, сумма дебета которых равна сумме кредита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Заявка на перевод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со счёта списания можно создать много заявок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Документ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Заявка на перевод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проведённая заявка связывается с документом операции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Платёж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со счёта выполняется много платежей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Документ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Платёж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каждый платёж отражается документом операции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Карта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 счёту можно выпустить несколько карт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Продукт вклада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Вклад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по одному продукту открывается много вкладов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Вклад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вклад учитывается на отдельном счёте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Кредитный продукт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Кредитная заявка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по одному продукту подаётся много заявок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Кредитная заявка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1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 выдаётся по одной одобренной и подписанной заявке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 учитывается на ссудном счёте</w:t>
            </w:r>
          </w:p>
        </w:tc>
      </w:tr>
    </w:tbl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sz w:val="28"/>
        </w:rPr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При проектировании модели приняты следующие решения. Денежные суммы хранятся целыми числами в минимальных единицах валюты (копейках), что исключает ошибки округления, свойственные числам с плавающей точкой. Остаток счёта не вводится независимо, а определяется проводками: он равен разности оборотов по кредиту и дебету, и значение остатка в таблице счетов изменяется только вместе с проводкой в одной транзакции. Проводки и записи журнала действий после создания не изменяются и не удаляются: запрет задан триггерами базы данных, поэтому ошибочную операцию исправляют обратной проводкой (сторно), а история остаётся полной.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Целостность данных обеспечивается на нескольких уровнях. Внешние ключи гарантируют ссылочную целостность, ограничения CHECK задают допустимые значения (например, вид счёта и статус операции), а уникальные индексы исключают дубликаты номера IBAN и ключа идемпотентности. Для внутренних счетов банка ограничение требует, чтобы владелец отсутствовал, а для счетов клиентов – чтобы он был указан. На счетах клиентов, кроме ссудных, остаток не может стать отрицательным.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Структура модели приведена к третьей нормальной форме: каждая сущность описывает один объект предметной области, неключевые атрибуты зависят от ключа своей сущности, а связи между объектами выражены внешними ключами, а не повторением данных. Из этого правила сделаны осознанные исключения (денормализация), каждое из которых имеет причину. Во-первых, ставки по вкладам и кредитам копируются из продукта в договор: банк может изменить ставку продукта, но условия заключённого договора должны остаться прежними. Во-вторых, остаток счёта, остаток основного долга по кредиту и начисленные проценты по вкладу хранятся как значения, производные от проводок и графика платежей; пересчёт при каждом обращении замедлил бы работу и потребовал бы блокировки большого числа записей, а согласованность обеспечивается тем, что такие значения изменяются только вместе с проводкой в одной транзакции. В-третьих, результаты расчётов по заявке (платёж по графику, долговая нагрузка, скоринговый балл) сохраняются как зафиксированный итог решения, чтобы его можно было проверить и воспроизвести, даже если правила оценки изменятся. В-четвёртых, рядом с зашифрованными значениями (номер карты, идентификационный номер) хранятся хэши и последние цифры, что позволяет искать записи без расшифровки.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Персональные данные защищены на уровне хранения: паспортные данные и идентификационный номер клиента, а также номер карты хранятся в зашифрованном виде алгоритмом AES-256-GCM, пароли – в виде хэш-значений. Для поиска по номеру карты и идентификационному номеру используются отдельные хэши, поэтому расшифровывать данные для поиска не требуется.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Помимо хранимой модели данных, для описания структуры программного средства построены диаграммы классов. Они показывают классы предметной области, их атрибуты и операции, а также связи между классами: ассоциацию, агрегацию (клиент объединяет счета, вклады и заявки, но они существуют как самостоятельные записи), композицию (документ состоит из проводок и не существует без них) и зависимость (кредит использует перечисление видов графика). Каждая связь подписана действием, рядом с концами связей указаны кратности. Атрибуты классов соответствуют столбцам таблиц базы данных, а операции – функциям сервисов программного средства. Из-за числа классов модель разбита на четыре диаграммы; класс, участвующий в нескольких из них, показан на каждой полностью.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Пользователь входит в систему с одной из ролей, а клиент банка связан с учётной записью один к одному. Клиент владеет счетами (рисунок 1.13).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48769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-domain-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4876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sz w:val="28"/>
        </w:rPr>
        <w:t>Рисунок 1.13 – Диаграмма классов: пользователи, клиенты и счета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Все денежные операции по счёту (оплата услуг, переводы, операции по картам) оформляются банковским документом, который состоит из проводок двойной записи (рисунок 1.14).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697781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-domain-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69778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sz w:val="28"/>
        </w:rPr>
        <w:t>Рисунок 1.14 – Диаграмма классов: счета, платежи, переводы и проводки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Вклад открывается клиентом по условиям продукта и хранится на отдельном счёте (рисунок 1.15).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72632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-domain-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7263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sz w:val="28"/>
        </w:rPr>
        <w:t>Рисунок 1.15 – Диаграмма классов: вклады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Клиент подаёт заявку на кредит по условиям продукта. После одобрения и подписания заявка порождает кредит, который погашается со счёта клиента (рисунок 1.16).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264125" cy="77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-domain-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4125" cy="77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sz w:val="28"/>
        </w:rPr>
        <w:t>Рисунок 1.16 – Диаграмма классов: кредиты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В диаграммы включены четырнадцать классов и одно перечисление. Назначение классов, их основные атрибуты и операции приведены в таблице 1.8. Типы атрибутов указаны в нотации JavaScript: денежные суммы в программе хранятся целым числом копеек, а остаток счёта вычисляется по проводкам, поэтому поле balance служит кэшем значения.</w:t>
      </w:r>
    </w:p>
    <w:p>
      <w:pPr>
        <w:keepNext/>
        <w:spacing w:line="360" w:lineRule="auto" w:after="120" w:before="0"/>
        <w:jc w:val="left"/>
      </w:pPr>
      <w:r>
        <w:rPr>
          <w:rFonts w:ascii="Times New Roman" w:hAnsi="Times New Roman"/>
          <w:sz w:val="28"/>
        </w:rPr>
        <w:t>Таблица 1.8 – Классы модели предметной области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Класс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Основные атрибуты</w:t>
            </w:r>
          </w:p>
        </w:tc>
        <w:tc>
          <w:tcPr>
            <w:tcW w:type="dxa" w:w="232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Основные операции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Role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Роль пользователя и набор её прав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code, name, permissions</w:t>
            </w:r>
          </w:p>
        </w:tc>
        <w:tc>
          <w:tcPr>
            <w:tcW w:type="dxa" w:w="232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–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User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Учётная запись для входа в систему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login, passwordHash, status, failedAttempts, totpEnabled</w:t>
            </w:r>
          </w:p>
        </w:tc>
        <w:tc>
          <w:tcPr>
            <w:tcW w:type="dxa" w:w="232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login(), setBlocked(), changeRole()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Client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 банка с анкетными данными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lastName, firstName, birthDate, kycStatus</w:t>
            </w:r>
          </w:p>
        </w:tc>
        <w:tc>
          <w:tcPr>
            <w:tcW w:type="dxa" w:w="232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verifyClient(), rejectClient()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Account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 клиента в одной валюте с номером IBAN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iban, kind, currency, balance, status</w:t>
            </w:r>
          </w:p>
        </w:tc>
        <w:tc>
          <w:tcPr>
            <w:tcW w:type="dxa" w:w="232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openForUser(), closeForUser(), setFrozen()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Document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Банковский документ, объединяющий проводки одной операции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type, status, idempotencyKey, bankDate</w:t>
            </w:r>
          </w:p>
        </w:tc>
        <w:tc>
          <w:tcPr>
            <w:tcW w:type="dxa" w:w="232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post(), reverse()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Posting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Проводка двойной записи: дебет одного счёта и кредит другого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debitAccount, creditAccount, amount</w:t>
            </w:r>
          </w:p>
        </w:tc>
        <w:tc>
          <w:tcPr>
            <w:tcW w:type="dxa" w:w="232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–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TransferIntent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Заявка на перевод со статусом, комиссией и сроком действия кода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kind, amount, amountByn, fee, status, expiresAt</w:t>
            </w:r>
          </w:p>
        </w:tc>
        <w:tc>
          <w:tcPr>
            <w:tcW w:type="dxa" w:w="232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confirmTransfer(), cancelTransfer()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Payment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Оплата услуги по каталогу получателей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requisite, amount, fee, source</w:t>
            </w:r>
          </w:p>
        </w:tc>
        <w:tc>
          <w:tcPr>
            <w:tcW w:type="dxa" w:w="232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pay(), getReceipt()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Card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Банковская платёжная карта с лимитами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system, last4, dailyLimit, onlineEnabled, status</w:t>
            </w:r>
          </w:p>
        </w:tc>
        <w:tc>
          <w:tcPr>
            <w:tcW w:type="dxa" w:w="232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setBlocked(), updateLimits(), purchase()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DepositProduct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Условия вклада: срок, ставка, капитализация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name, currency, termMonths, ratePercent, capitalization</w:t>
            </w:r>
          </w:p>
        </w:tc>
        <w:tc>
          <w:tcPr>
            <w:tcW w:type="dxa" w:w="232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projectIncome()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Deposit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Вклад клиента, открытый по условиям продукта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amount, ratePercent, maturityDate, interestTotal, status</w:t>
            </w:r>
          </w:p>
        </w:tc>
        <w:tc>
          <w:tcPr>
            <w:tcW w:type="dxa" w:w="232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quoteEarlyClose(), closeEarly()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LoanProduct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Условия кредита: ставка, границы суммы и срока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name, ratePercent, minAmount, maxAmount, minTerm, maxTerm</w:t>
            </w:r>
          </w:p>
        </w:tc>
        <w:tc>
          <w:tcPr>
            <w:tcW w:type="dxa" w:w="232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previewSchedule()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LoanApplication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Заявка на кредит с результатом скоринга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amount, termMonths, scheduleType, dtiPercent, score, pdPercent, status</w:t>
            </w:r>
          </w:p>
        </w:tc>
        <w:tc>
          <w:tcPr>
            <w:tcW w:type="dxa" w:w="232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apply(), decide(), sign()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Loan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Выданный кредит с остатком основного долга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amount, ratePercent, termMonths, principalBalance, status</w:t>
            </w:r>
          </w:p>
        </w:tc>
        <w:tc>
          <w:tcPr>
            <w:tcW w:type="dxa" w:w="232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quoteFull(), repayPartial(), repayFull()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ScheduleType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Перечисление видов графика платежей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annuity, differentiated</w:t>
            </w:r>
          </w:p>
        </w:tc>
        <w:tc>
          <w:tcPr>
            <w:tcW w:type="dxa" w:w="232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–</w:t>
            </w:r>
          </w:p>
        </w:tc>
      </w:tr>
    </w:tbl>
    <w:p>
      <w:pPr>
        <w:spacing w:line="360" w:lineRule="auto" w:after="0" w:before="0"/>
        <w:ind w:firstLine="709"/>
        <w:jc w:val="both"/>
      </w:pP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Диаграммы классов описывают данные и их поведение, но не показывают, где именно выполняется бизнес-логика. В программном средстве она вынесена в отдельный слой сервисов: контроллеры принимают запрос и вызывают сервис, сервис выполняет операцию в одной транзакции и обращается к моделям с SQL-запросами. Слой показан тремя диаграммами. Пунктирная стрелка означает, что один сервис использует другой, подпись указывает действие.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Закрытие операционного дня запускает начисление процентов по вкладам, исполнение автоплатежей, отправку пакета межбанковского клиринга и обработку графиков и просрочки по кредитам (рисунок 1.17).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409215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-services-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4092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sz w:val="28"/>
        </w:rPr>
        <w:t>Рисунок 1.17 – Диаграмма классов слоя бизнес-логики: закрытие операционного дня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Перевод и межбанковский перевод проверяются антифрод-сервисом, а перевод, межбанковский перевод и подписание кредита подтверждаются кодом. Кредит оценивается сервисом скоринга (рисунок 1.18).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426862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-services-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4268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sz w:val="28"/>
        </w:rPr>
        <w:t>Рисунок 1.18 – Диаграмма классов слоя бизнес-логики: проверка и подтверждение операций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Сервисы вкладов, платежей, кредитов, карт и переводов проводят деньги через сервис учёта, работают со счетами через сервис счетов, ведут журнал аудита и отправляют уведомления, которые сервис уведомлений ставит в очередь на отправку письмом (рисунок 1.19).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298209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-services-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2982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sz w:val="28"/>
        </w:rPr>
        <w:t>Рисунок 1.19 – Диаграмма классов слоя бизнес-логики: учёт, уведомления и аудит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