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360" w:lineRule="auto" w:after="240" w:before="0"/>
        <w:ind w:firstLine="709"/>
        <w:jc w:val="left"/>
      </w:pPr>
      <w:r>
        <w:rPr>
          <w:rFonts w:ascii="Times New Roman" w:hAnsi="Times New Roman"/>
          <w:b/>
          <w:sz w:val="28"/>
        </w:rPr>
        <w:t>1.4 Разработка информационной модели предметной области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Информационная модель определяет, какие данные хранит программное средство, как они устроены и как связаны между собой. От её качества зависят целостность денежных расчётов, возможность проверить любую операцию по записям и защита персональных данных клиентов. Модель построена в виде ER-диаграммы (диаграммы «сущность – связь») и приведена на рисунке 1.12.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На диаграмме каждая сущность изображена таблицей с названием в заголовке и перечнем основных атрибутов. Жёлтым ромбом отмечен первичный ключ, красным – внешний ключ, синим – обычный атрибут; ромб без заливки означает, что значение атрибута может отсутствовать. Пунктирная линия показывает связь между сущностями. «Вилка» на конце линии обозначает сторону «многие», две вертикальные черты – сторону «один». На диаграмме показаны основные сущности предметной области и основные связи между ними. Справочники, сессии, коды подтверждения, настройки, журнал действий и другие вспомогательные таблицы на рисунке опущены для читаемости, их полный состав приведён в SQL-скрипте создания базы данных (приложение).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5474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474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1.12 – ER-диаграмма информационной модели программного средства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Четырнадцать основных сущностей образуют четыре группы. Группа доступа включает сущности «Роль», «Пользователь» и «Клиент» и определяет, кто работает с системой и что ему разрешено. Ядро учёта образуют «Счёт», «Документ» и «Проводка»: они реализуют принцип двойной записи, по которому любая операция отражается одновременно по дебету одного счёта и кредиту другого. Группа операций состоит из сущностей «Заявка на перевод», «Платёж» и «Карта». Группа продуктов описывает вклады и кредиты: «Продукт вклада», «Вклад», «Кредитный продукт», «Кредитная заявка» и «Кредит». Назначение и основные атрибуты сущностей приведены в таблице 1.6.</w:t>
      </w:r>
    </w:p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b w:val="0"/>
          <w:sz w:val="28"/>
        </w:rPr>
        <w:t>Таблица 1.6 – Описание сущностей информационной модели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Сущность</w:t>
            </w:r>
          </w:p>
        </w:tc>
        <w:tc>
          <w:tcPr>
            <w:tcW w:type="dxa" w:w="45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266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атрибуты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Роль (roles)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Категория пользователя системы с набором прав: клиент, операционист, кредитный специалист, специалист по мониторингу, администратор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код роли, наименование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 (users)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Учётная запись для входа в систему; принадлежит одной роли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логин, хэш пароля, роль, статус, число неудачных входов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(clients)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Физическое лицо, подключённое к дистанционному банковскому обслуживанию; связано с учётной записью пользователя. Паспортные данные и идентификационный номер хранятся в зашифрованном виде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фамилия, имя, отчество, дата рождения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 (accounts)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Банковский счёт клиента (текущий, накопительный, вкладной, ссудный) либо внутренний счёт банка (касса, корреспондентский счёт, счета доходов и расходов), у которого владельца нет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номер IBAN, владелец, балансовый счёт, вид, наименование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 (documents)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Банковская операция как единое целое; объединяет все проводки одной операции. Уникальный ключ идемпотентности не позволяет выполнить одну операцию дважды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тип, статус, ключ идемпотентности, банковская дата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(postings)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Запись двойной записи: сумма, списываемая с одного счёта (дебет) и зачисляемая на другой (кредит). Остаток счёта определяется проводками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документ, счёт дебета, счёт кредита, сумма, банковская дата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перевод (transfer_intents)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Намерение клиента выполнить перевод; существует до подтверждения кодом и проверок антифрода, после проведения связывается с документом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вид (между своими счетами или клиенту), счёт списания, сумма, сумма в BYN, комиссия, документ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Платёж (payments)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Оплата услуги по каталогу поставщиков, выполненная со счёта клиента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поставщик, счёт списания, сумма, комиссия, реквизит, документ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Карта (cards)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Банковская платёжная карта, привязанная к счёту. Номер хранится в зашифрованном виде, для поиска используется хэш номера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счёт, платёжная система, зашифрованный номер, хэш номера, последние четыре цифры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Продукт вклада (deposit_products)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Условия вклада, предлагаемые банком: срок, ставка, валюта, возможность капитализации и досрочного расторжения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наименование, валюта, срок, ставка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 (deposits)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Договор вклада конкретного клиента; ставки фиксируются на дату открытия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клиент, продукт, счёт вклада, валюта, сумма, ставка, ставка «до востребования»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Кредитный продукт (loan_products)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Условия кредита, предлагаемые банком: ставка, границы суммы и срока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наименование, ставка, минимальная и максимальная сумма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 (loan_applications)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клиента на кредит с результатом оценки кредитоспособности (скоринговый балл, вероятность дефолта, долговая нагрузка) и решением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клиент, продукт, сумма, срок, вид графика, ставка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 (loans)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Кредитный договор, возникший по одобренной и подписанной заявке; обслуживается по графику платежей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заявка, ссудный счёт, сумма, ставка, срок, вид графика</w:t>
            </w:r>
          </w:p>
        </w:tc>
      </w:tr>
    </w:tbl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Связи между сущностями приведены в таблице 1.7. Все они реализованы внешними ключами, поэтому база данных не допускает ссылок на несуществующие записи: нельзя создать проводку по отсутствующему счёту или вклад без клиента.</w:t>
      </w:r>
    </w:p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b w:val="0"/>
          <w:sz w:val="28"/>
        </w:rPr>
        <w:t>Таблица 1.7 – Описание связей информационной модели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154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Родительская сущность</w:t>
            </w:r>
          </w:p>
        </w:tc>
        <w:tc>
          <w:tcPr>
            <w:tcW w:type="dxa" w:w="221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Дочерняя сущность</w:t>
            </w:r>
          </w:p>
        </w:tc>
        <w:tc>
          <w:tcPr>
            <w:tcW w:type="dxa" w:w="124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Кратность</w:t>
            </w:r>
          </w:p>
        </w:tc>
        <w:tc>
          <w:tcPr>
            <w:tcW w:type="dxa" w:w="3742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Смысл связи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Роль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каждый пользователь имеет одну роль, ролью обладают многие пользователи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1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имеет одну учётную запись; у сотрудников банка записи клиента нет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владеет несколькими счетами; у внутренних счетов банка владельца нет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может иметь несколько вкладов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может подавать несколько заявок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(по дебету)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счёту выполняется много списаний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(по кредиту)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счёту выполняется много зачислений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операция состоит из нескольких проводок, сумма дебета которых равна сумме кредита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перевод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со счёта списания можно создать много заявок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перевод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проведённая заявка связывается с документом операции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Платёж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со счёта выполняется много платежей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Платёж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каждый платёж отражается документом операции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Карта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 счёту можно выпустить несколько карт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Продукт вклада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одному продукту открывается много вкладов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 учитывается на отдельном счёте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Кредитный продукт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одному продукту подаётся много заявок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1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 выдаётся по одной одобренной и подписанной заявке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 учитывается на ссудном счёте</w:t>
            </w:r>
          </w:p>
        </w:tc>
      </w:tr>
    </w:tbl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При проектировании модели приняты следующие решения. Денежные суммы хранятся целыми числами в минимальных единицах валюты (копейках), что исключает ошибки округления, свойственные числам с плавающей точкой. Остаток счёта не вводится независимо, а определяется проводками: он равен разности оборотов по кредиту и дебету, и значение остатка в таблице счетов изменяется только вместе с проводкой в одной транзакции. Проводки и записи журнала действий после создания не изменяются и не удаляются: запрет задан триггерами базы данных, поэтому ошибочную операцию исправляют обратной проводкой (сторно), а история остаётся полной.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Целостность данных обеспечивается на нескольких уровнях. Внешние ключи гарантируют ссылочную целостность, ограничения CHECK задают допустимые значения (например, вид счёта и статус операции), а уникальные индексы исключают дубликаты номера IBAN и ключа идемпотентности. Для внутренних счетов банка ограничение требует, чтобы владелец отсутствовал, а для счетов клиентов – чтобы он был указан. На счетах клиентов, кроме ссудных, остаток не может стать отрицательным.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Ставка по вкладу и кредиту указана и в сущности продукта, и в договоре (вклад, кредит), то есть данные намеренно повторяются. Это осознанное отступление от третьей нормальной формы: банк может изменить ставку продукта, но условия уже заключённого договора должны остаться прежними, поэтому ставка фиксируется в договоре на дату его заключения. В остальном модель приведена к третьей нормальной форме: каждый неключевой атрибут зависит только от ключа своей сущности.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Персональные данные защищены на уровне хранения: паспортные данные и идентификационный номер клиента, а также номер карты хранятся в зашифрованном виде алгоритмом AES-256-GCM, пароли – в виде хэш-значений. Для поиска по номеру карты и идентификационному номеру используются отдельные хэши, поэтому расшифровывать данные для поиска не требуется.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