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240" w:before="0"/>
        <w:ind w:firstLine="709"/>
        <w:jc w:val="left"/>
      </w:pPr>
      <w:r>
        <w:rPr>
          <w:rFonts w:ascii="Times New Roman" w:hAnsi="Times New Roman"/>
          <w:b/>
          <w:sz w:val="28"/>
        </w:rPr>
        <w:t>1.4 Разработка информационной модели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Информационная модель определяет, какие данные хранит программное средство, как они устроены и как связаны между собой. От её качества зависят целостность денежных расчётов, возможность проверить любую операцию по записям и защита персональных данных клиентов. Модель построена в виде ER-диаграммы (диаграммы «сущность – связь») и приведена на рисунке 1.12.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ER-диаграмма (от англ. Entity-Relationship, «сущность – связь») – графическая модель данных, в которой предметная область описывается совокупностью сущностей, их атрибутов и связей между ними. Сущность соответствует таблице базы данных, атрибут – её столбцу, связь – ссылке одной таблицы на другую. На диаграмме показаны основные сущности предметной области и основные связи между ними. Справочники, сессии, коды подтверждения, настройки, журнал действий и другие вспомогательные таблицы на рисунке опущены для читаемости, их полный состав приведён в SQL-скрипте создания базы данных (приложение).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474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74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1.12 – ER-диаграмма информационной модели программного средства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Четырнадцать основных сущностей образуют четыре группы. Группа доступа включает сущности «Роль», «Пользователь» и «Клиент» и определяет, кто работает с системой и что ему разрешено. Ядро учёта образуют «Счёт», «Документ» и «Проводка»: они реализуют принцип двойной записи, по которому любая операция отражается одновременно по дебету одного счёта и кредиту другого. Группа операций состоит из сущностей «Заявка на перевод», «Платёж» и «Карта». Группа продуктов описывает вклады и кредиты: «Продукт вклада», «Вклад», «Кредитный продукт», «Кредитная заявка» и «Кредит». Назначение и основные атрибуты сущностей приведены в таблице 1.6.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1.6 – Описание сущностей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(roles)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Категория пользователя системы с набором прав: клиент, операционист, кредитный специалист, специалист по мониторингу, администратор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код роли,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 (users)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Учётная запись для входа в систему; принадлежит одной роли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логин, хэш пароля, роль, статус, число неудачных входов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(clients)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Физическое лицо, подключённое к дистанционному банковскому обслуживанию; связано с учётной записью пользователя. Паспортные данные и идентификационный номер хранятся в зашифрованном виде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фамилия, имя, отчество, дата рождения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(accounts)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счёт клиента (текущий, накопительный, вкладной, ссудный) либо внутренний счёт банка (касса, корреспондентский счёт, счета доходов и расходов), у которого владельца нет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номер IBAN, владелец, балансовый счёт, вид,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 (documents)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операция как единое целое; объединяет все проводки одной операции. Уникальный ключ идемпотентности не позволяет выполнить одну операцию дважды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тип, статус, ключ идемпотентности, банковская дата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(postings)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Запись двойной записи: сумма, списываемая с одного счёта (дебет) и зачисляемая на другой (кредит). Остаток счёта определяется проводками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документ, счёт дебета, счёт кредита, сумма, банковская дата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(transfer_intents)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Намерение клиента выполнить перевод; существует до подтверждения кодом и проверок антифрода, после проведения связывается с документом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вид (между своими счетами или клиенту), счёт списания, сумма, сумма в BYN, комиссия, документ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 (payments)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поставщиков, выполненная со счёта клиента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поставщик, счёт списания, сумма, комиссия, реквизит, документ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 (cards)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карта, привязанная к счёту. Номер хранится в зашифрованном виде, для поиска используется хэш номера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счёт, платёжная система, зашифрованный номер, хэш номера, последние четыре цифры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 (deposit_products)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вклада, предлагаемые банком: срок, ставка, валюта, возможность капитализации и досрочного расторжения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валюта, срок, ставка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(deposits)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Договор вклада конкретного клиента; ставки фиксируются на дату открытия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счёт вклада, валюта, сумма, ставка, ставка «до востребования»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 (loan_products)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кредита, предлагаемые банком: ставка, границы суммы и срока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ставка, минимальная и максимальная сумма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 (loan_applications)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клиента на кредит с результатом оценки кредитоспособности (скоринговый балл, вероятность дефолта, долговая нагрузка) и решением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сумма, срок, вид графика, ставка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(loans)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договор, возникший по одобренной и подписанной заявке; обслуживается по графику платежей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заявка, ссудный счёт, сумма, ставка, срок, вид графика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Связи между сущностями приведены в таблице 1.7. Все они реализованы внешними ключами, поэтому база данных не допускает ссылок на несуществующие записи: нельзя создать проводку по отсутствующему счёту или вклад без клиента.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1.7 – Описание связей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154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24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742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пользователь имеет одну роль, ролью обладают многие пользователи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имеет одну учётную запись; у сотрудников банка записи клиента нет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владеет несколькими счетами; у внутренних счетов банка владельца нет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иметь несколько вкладов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подавать несколько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дебету)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списаний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кредиту)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зачислений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операция состоит из нескольких проводок, сумма дебета которых равна сумме кредита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списания можно создать много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проведённая заявка связывается с документом операции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выполняется много платежей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платёж отражается документом операции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 счёту можно выпустить несколько карт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открывается много вкладов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учитывается на отдельном счёте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подаётся много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выдаётся по одной одобренной и подписанной заявке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учитывается на ссудном счёте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При проектировании модели приняты следующие решения. Денежные суммы хранятся целыми числами в минимальных единицах валюты (копейках), что исключает ошибки округления, свойственные числам с плавающей точкой. Остаток счёта не вводится независимо, а определяется проводками: он равен разности оборотов по кредиту и дебету, и значение остатка в таблице счетов изменяется только вместе с проводкой в одной транзакции. Проводки и записи журнала действий после создания не изменяются и не удаляются: запрет задан триггерами базы данных, поэтому ошибочную операцию исправляют обратной проводкой (сторно), а история остаётся полной.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Целостность данных обеспечивается на нескольких уровнях. Внешние ключи гарантируют ссылочную целостность, ограничения CHECK задают допустимые значения (например, вид счёта и статус операции), а уникальные индексы исключают дубликаты номера IBAN и ключа идемпотентности. Для внутренних счетов банка ограничение требует, чтобы владелец отсутствовал, а для счетов клиентов – чтобы он был указан. На счетах клиентов, кроме ссудных, остаток не может стать отрицательным.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Структура модели приведена к третьей нормальной форме: каждая сущность описывает один объект предметной области, неключевые атрибуты зависят от ключа своей сущности, а связи между объектами выражены внешними ключами, а не повторением данных. Из этого правила сделаны осознанные исключения (денормализация), каждое из которых имеет причину. Во-первых, ставки по вкладам и кредитам копируются из продукта в договор: банк может изменить ставку продукта, но условия заключённого договора должны остаться прежними. Во-вторых, остаток счёта, остаток основного долга по кредиту и начисленные проценты по вкладу хранятся как значения, производные от проводок и графика платежей; пересчёт при каждом обращении замедлил бы работу и потребовал бы блокировки большого числа записей, а согласованность обеспечивается тем, что такие значения изменяются только вместе с проводкой в одной транзакции. В-третьих, результаты расчётов по заявке (платёж по графику, долговая нагрузка, скоринговый балл) сохраняются как зафиксированный итог решения, чтобы его можно было проверить и воспроизвести, даже если правила оценки изменятся. В-четвёртых, рядом с зашифрованными значениями (номер карты, идентификационный номер) хранятся хэши и последние цифры, что позволяет искать записи без расшифровки.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Персональные данные защищены на уровне хранения: паспортные данные и идентификационный номер клиента, а также номер карты хранятся в зашифрованном виде алгоритмом AES-256-GCM, пароли – в виде хэш-значений. Для поиска по номеру карты и идентификационному номеру используются отдельные хэши, поэтому расшифровывать данные для поиска не требуется.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Помимо хранимой модели данных, для описания структуры программного средства построены диаграммы классов. Они показывают классы предметной области, их атрибуты и операции, а также связи между классами: ассоциацию, агрегацию (клиент объединяет счета, вклады и заявки, но они существуют как самостоятельные записи), композицию (документ состоит из проводок и не существует без них) и зависимость (кредит использует перечисление видов графика). Каждая связь подписана действием, рядом с концами связей указаны кратности. Атрибуты классов соответствуют столбцам таблиц базы данных, а операции – функциям сервисов программного средства. Из-за числа классов модель разбита на четыре диаграммы; классы, показанные только именем, подробно описаны на других рисунках.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Пользователь входит в систему с одной из ролей, а клиент банка связан с учётной записью один к одному. Клиент владеет счетами (рисунок 1.13).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727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72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1.13 – Диаграмма классов: пользователи, клиенты и счета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Все денежные операции по счёту (оплата услуг, переводы, операции по картам) оформляются банковским документом, который состоит из проводок двойной записи (рисунок 1.14).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778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77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1.14 – Диаграмма классов: счета, платежи, переводы и проводки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Вклад открывается клиентом по условиям продукта и хранится на отдельном счёте (рисунок 1.15).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070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-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07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1.15 – Диаграмма классов: вклады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Клиент подаёт заявку на кредит по условиям продукта. После одобрения и подписания заявка порождает кредит, который погашается со счёта клиента (рисунок 1.16).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7145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-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71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1.16 – Диаграмма классов: кредиты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диаграммы включены четырнадцать классов и одно перечисление. Назначение классов, их основные атрибуты и операции приведены в таблице 1.8. Типы атрибутов указаны в нотации JavaScript: денежные суммы в программе хранятся целым числом копеек, а остаток счёта вычисляется по проводкам, поэтому поле balance служит кэшем значения.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sz w:val="28"/>
        </w:rPr>
        <w:t>Таблица 1.8 – Классы модели предметной области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операции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Role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пользователя и набор её прав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code, name, permissions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User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Учётная запись для входа в систему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login, passwordHash, status, failedAttempts, totpEnabled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login(), setBlocked(), changeRole()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Client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банка с анкетными данными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lastName, firstName, birthDate, kycStatus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verifyClient(), rejectClient()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Account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клиента в одной валюте с номером IBAN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iban, kind, currency, balance,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openForUser(), closeForUser(), setFrozen()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Document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документ, объединяющий проводки одной операции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type, status, idempotencyKey, bankDate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post(), reverse()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Posting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двойной записи: дебет одного счёта и кредит другого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debitAccount, creditAccount, amount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TransferIntent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со статусом, комиссией и сроком действия кода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kind, amount, amountByn, fee, status, expiresAt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confirmTransfer(), cancelTransfer()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Payment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получателей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requisite, amount, fee, source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pay(), getReceipt()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Card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 с лимитами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system, last4, dailyLimit, onlineEnabled,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setBlocked(), updateLimits(), purchase()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DepositProduct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вклада: срок, ставка, капитализация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name, currency, termMonths, ratePercent, capitalization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projectIncome()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Deposit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клиента, открытый по условиям продукта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maturityDate, interestTotal,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quoteEarlyClose(), closeEarly()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LoanProduct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кредита: ставка, границы суммы и срока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name, ratePercent, minAmount, maxAmount, minTerm, maxTerm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previewSchedule()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LoanApplication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кредит с результатом скоринга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termMonths, scheduleType, dtiPercent, score, pdPercent,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apply(), decide(), sign()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Выданный кредит с остатком основного долга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termMonths, principalBalance,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quoteFull(), repayPartial(), repayFull()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ScheduleType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Перечисление видов графика платежей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annuity, differentiated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</w:tbl>
    <w:p>
      <w:pPr>
        <w:spacing w:line="36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Диаграммы классов описывают данные и их поведение, но не показывают, где именно выполняется бизнес-логика. В программном средстве она вынесена в отдельный слой сервисов: контроллеры принимают запрос и вызывают сервис, сервис выполняет операцию в одной транзакции и обращается к моделям с SQL-запросами. Слой показан тремя диаграммами. Пунктирная стрелка означает, что один сервис использует другой, подпись указывает действие.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Закрытие операционного дня запускает начисление процентов по вкладам, исполнение автоплатежей, отправку пакета межбанковского клиринга и обработку графиков и просрочки по кредитам (рисунок 1.17).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0921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services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092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1.17 – Диаграмма классов слоя бизнес-логики: закрытие операционного дня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Перевод и межбанковский перевод проверяются антифрод-сервисом, а перевод, межбанковский перевод и подписание кредита подтверждаются кодом. Кредит оценивается сервисом скоринга (рисунок 1.18).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2686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services-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268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1.18 – Диаграмма классов слоя бизнес-логики: проверка и подтверждение операций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Сервисы вкладов, платежей, кредитов, карт и переводов проводят деньги через сервис учёта, работают со счетами через сервис счетов, ведут журнал аудита и отправляют уведомления, которые сервис уведомлений ставит в очередь на отправку письмом (рисунок 1.19).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820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services-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82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1.19 – Диаграмма классов слоя бизнес-логики: учёт, уведомления и аудит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