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 UML-модели представления программного средства и их описание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Модели представления показывают программное средство с разных точек зрения: кто и для чего им пользуется, как взаимодействуют его части, в какой последовательности выполняются действия, какие состояния принимает объект и как система размещается на оборудовании. Для описания использован унифицированный язык моделирования UML, построено по одной диаграмме каждого вида. Диаграммы последовательности, деятельности и состояний посвящены оформлению кредита – наиболее сложному процессу системы (подраздел 1.2). Диаграмма классов и ER-диаграмма приведены в подразделе 1.4.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Функции системы с точки зрения внешних участников показаны на диаграмме вариантов использования (рисунок 1.13).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Актёры соответствуют участникам процесса из таблицы 1.2, варианты использования названы действиями. Клиент является специализацией гостя (отношение обобщения) и наследует его возможности: гость просматривает курсы валют и регистрируется, клиент после проверки анкеты открывает счета, переводит деньги, оплачивает услуги, оформляет вклады и кредиты, выпускает карты и получает выписки. Отношение «include» показывает обязательные части действия: перевод и оплата услуги включают подтверждение операции кодом, оформление кредита включает оценку кредитоспособности и составление графика платежей, а рассмотрение заявки кредитным специалистом использует ту же оценку. Отношение «extend» показывает необязательное расширение при выполнении условия: конвертация валют при переводе между счетами в разных валютах, передача подозрительного перевода на проверку специалисту по мониторингу, досрочное закрытие вклада, досрочное погашение кредита, блокировка карты. Администратор настраивает курсы, тарифы и пользователей, закрывает операционный день, а закрытие дня включает создание резервной копии.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787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787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1.13 – Диаграмма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Последовательность оформления кредита показана на рисунке 1.14.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Контроллер принимает заявку клиента и вызывает сервис кредитов. Сервис рассчитывает график платежей и долговую нагрузку и передаёт данные сервису скоринга, который возвращает вероятность дефолта. При вероятности до 8 % и сумме в пределах лимита заявка одобряется автоматически, при вероятности до 30 % её рассматривает кредитный специалист, в остальных случаях выдаётся отказ. Одобренную заявку клиент подписывает кодом из письма, который выдаёт и проверяет сервис одноразовых кодов, после чего сервис учёта выполняет проводку выдачи кредита.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775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eq-lo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7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1.14 – Диаграмма последовательности: заявка на кредит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Порядок действий и их распределение между участниками показаны на рисунке 1.15.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24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act-lo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2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1.15 – Диаграмма деятельности: оформление кредита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Диаграмма деятельности дополняет функциональную модель из подраздела 1.2. Система рассчитывает график и долговую нагрузку: при нагрузке выше 40 % следует отказ. Затем скоринг определяет вероятность дефолта и направляет заявку по одной из ветвей: автоодобрение, ручное рассмотрение кредитным специалистом или отказ. После одобрения клиент подписывает договор кодом, и система выдаёт кредит: открывает ссудный счёт, формирует график и зачисляет деньги.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Состояния заявки на кредит показаны на рисунке 1.16, названия состояний совпадают со значениями поля статуса в базе данных.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7457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lo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74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1.16 – Диаграмма состояний: заявка на кредит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Заявка получает начальное состояние по результату проверки: approved при автоодобрении, manual_review при ручном рассмотрении, rejected при отказе. Специалист переводит заявку из manual_review в approved или rejected. Одобренная заявка после подписания договора кодом становится signed.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Структура программного средства показана на диаграмме компонентов (рисунок 1.17).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0271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compon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02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1.17 – Диаграмма компонентов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Браузер получает по HTTPS файлы интерфейса (страницу index.html, таблицу стилей и модули JavaScript), затем обращается к программному интерфейсу сервера и получает данные в формате JSON. На сервере запрос проходит через промежуточные слои (сессии, защита от подделки запросов, проверка прав, двухфакторная защита), затем маршруты передают его контроллеру. Контроллер вызывает сервисы с бизнес-логикой и возвращает ответ в формате JSON, а страницы из этих данных собирает клиентский JavaScript. Сервисы работают с базой данных MySQL через модели с SQL-запросами, получают курсы валют по HTTPS от Национального банка и отправляют письма через SMTP-сервер. Фоновые задачи создают зашифрованные резервные копии и отправляют письма из очереди.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Размещение программного средства на оборудовании показано на диаграмме развёртывания (рисунок 1.18).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704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7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1.18 – Диаграмма развёртывания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Клиент работает в браузере на своём компьютере и обращается к серверу приложения по протоколу HTTPS: перед приложением стоит обратный прокси-сервер с сертификатом TLS. Приложение на Node.js обращается к серверу базы данных по протоколу MySQL, к почтовому серверу по SMTP и к интерфейсу Национального банка за курсами валют. Резервные копии базы данных шифруются алгоритмом AES-256-GCM и хранятся отдельно от рабочей базы.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Построенные модели согласованы между собой и с информационной моделью из подраздела 1.4: актёры и варианты использования соответствуют ролям и правам доступа, последовательность и состояния – статусам заявок в базе данных, компоненты – слоям программы.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