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r w:rsidR="001E35E9" w:rsidRPr="001E35E9">
        <w:rPr>
          <w:rFonts w:eastAsiaTheme="minorEastAsia"/>
          <w:i/>
          <w:iCs/>
        </w:rPr>
        <w:t>i</w:t>
      </w:r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r w:rsidR="001E35E9" w:rsidRPr="00784DF0">
        <w:rPr>
          <w:rFonts w:eastAsiaTheme="minorEastAsia"/>
          <w:i/>
          <w:iCs/>
        </w:rPr>
        <w:t>i</w:t>
      </w:r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Default="00635A31" w:rsidP="005461DE"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1B8316C8" w:rsidR="006E3132" w:rsidRP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 то насправді і є.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lastRenderedPageBreak/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>Спробуємо так задати параметри часток, щоб туманність якнайдовше знаходилась у квазістабільному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27A72DC4" w:rsidR="00176EC2" w:rsidRPr="005A2D89" w:rsidRDefault="00122F7B" w:rsidP="005A2D89">
      <w:pPr>
        <w:rPr>
          <w:lang w:val="uk-UA"/>
        </w:rPr>
      </w:pPr>
      <w:r>
        <w:rPr>
          <w:lang w:val="uk-UA"/>
        </w:rPr>
        <w:lastRenderedPageBreak/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176EC2">
        <w:rPr>
          <w:lang w:val="uk-UA"/>
        </w:rPr>
        <w:t xml:space="preserve">маса кільцевого сектору становить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dzd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176EC2">
        <w:rPr>
          <w:rFonts w:eastAsiaTheme="minorEastAsia"/>
          <w:lang w:val="uk-UA"/>
        </w:rPr>
        <w:t xml:space="preserve">  </w:t>
      </w:r>
      <w:r w:rsidR="00356642">
        <w:rPr>
          <w:rFonts w:eastAsiaTheme="minorEastAsia"/>
          <w:lang w:val="uk-UA"/>
        </w:rPr>
        <w:t>(рис. 1а)</w:t>
      </w:r>
      <w:r w:rsidR="005A2D89">
        <w:rPr>
          <w:rFonts w:eastAsiaTheme="minorEastAsia"/>
          <w:lang w:val="uk-UA"/>
        </w:rPr>
        <w:t>.</w:t>
      </w:r>
    </w:p>
    <w:p w14:paraId="00CAB0E9" w14:textId="5CB3000F" w:rsidR="004C28D8" w:rsidRPr="00BA226D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4C28D8" w:rsidRPr="00BA226D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 w:rsidRPr="00BA226D">
        <w:rPr>
          <w:rFonts w:eastAsiaTheme="minorEastAsia"/>
          <w:lang w:val="uk-U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684FA08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26F97936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23C4C7E8" w14:textId="514583AE" w:rsidR="00742849" w:rsidRPr="004F46C5" w:rsidRDefault="00000000" w:rsidP="00D93E17">
      <w:pPr>
        <w:rPr>
          <w:rFonts w:eastAsiaTheme="minorEastAsia"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2EC515D1" w14:textId="2A29B5FA" w:rsidR="00AF7330" w:rsidRPr="004F46C5" w:rsidRDefault="00EE5B64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BA226D" w:rsidRPr="004F46C5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=p-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4E878B4E" w14:textId="77777777" w:rsidR="00DF5AF7" w:rsidRPr="004F46C5" w:rsidRDefault="00DF5AF7" w:rsidP="00EE5B64">
      <w:pPr>
        <w:ind w:firstLine="0"/>
        <w:rPr>
          <w:rFonts w:eastAsiaTheme="minorEastAsia"/>
          <w:iCs/>
          <w:lang w:val="uk-UA"/>
        </w:rPr>
      </w:pPr>
    </w:p>
    <w:p w14:paraId="15EC7D69" w14:textId="2A1FC54A" w:rsidR="00DF5AF7" w:rsidRDefault="00786DE4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E06A59" wp14:editId="1C269859">
            <wp:extent cx="4904510" cy="2657081"/>
            <wp:effectExtent l="0" t="0" r="0" b="0"/>
            <wp:docPr id="1692391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1221" name="Рисунок 169239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43" cy="26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5E6ADFB" w14:textId="4A1AE99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r w:rsidR="003A0071" w:rsidRPr="006D0161">
        <w:rPr>
          <w:lang w:val="uk-UA"/>
        </w:rPr>
        <w:t>покроково</w:t>
      </w:r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619D7C33" w14:textId="14377245" w:rsidR="00D40EB5" w:rsidRPr="00F24A6B" w:rsidRDefault="00D40EB5" w:rsidP="00B314BD">
      <w:pPr>
        <w:ind w:firstLine="0"/>
        <w:rPr>
          <w:highlight w:val="yellow"/>
          <w:lang w:val="uk-UA"/>
        </w:rPr>
      </w:pPr>
      <w:r w:rsidRPr="00F24A6B">
        <w:rPr>
          <w:highlight w:val="yellow"/>
          <w:lang w:val="uk-UA"/>
        </w:rPr>
        <w:t>Про орбіти</w:t>
      </w:r>
    </w:p>
    <w:p w14:paraId="3C669662" w14:textId="59EBEA9F" w:rsidR="00D40EB5" w:rsidRDefault="00D40EB5" w:rsidP="00B314BD">
      <w:pPr>
        <w:ind w:firstLine="0"/>
        <w:rPr>
          <w:lang w:val="uk-UA"/>
        </w:rPr>
      </w:pPr>
      <w:r w:rsidRPr="00F24A6B">
        <w:rPr>
          <w:highlight w:val="yellow"/>
          <w:lang w:val="uk-UA"/>
        </w:rPr>
        <w:t>Про стартери</w:t>
      </w:r>
    </w:p>
    <w:p w14:paraId="459CEAEA" w14:textId="7B88755A" w:rsidR="00F24A6B" w:rsidRDefault="00F24A6B" w:rsidP="00B314BD">
      <w:pPr>
        <w:ind w:firstLine="0"/>
        <w:rPr>
          <w:lang w:val="uk-UA"/>
        </w:rPr>
      </w:pPr>
      <w:r>
        <w:rPr>
          <w:lang w:val="uk-UA"/>
        </w:rPr>
        <w:t>Планета – в пояс астероідів ?</w:t>
      </w:r>
    </w:p>
    <w:p w14:paraId="3C69142D" w14:textId="77777777" w:rsidR="00F24A6B" w:rsidRPr="00D40EB5" w:rsidRDefault="00F24A6B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Це вільне програмне забезпечення для тривимірного моделювання та візуалізації планет Сонячної системи і зірок. Celestia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Pyton or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lastRenderedPageBreak/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"The Mathematical Principles of Natural Philosophy", Encyclopædia Britannica, London, archived from the original on 2 May 2015, retrieved 13 February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r w:rsidRPr="006D0161">
        <w:rPr>
          <w:lang w:val="uk-UA"/>
        </w:rPr>
        <w:t>Feynman, Richard P.; Leighton, Robert B.; Sands, Matthew (2005) [1970]. The Feynman Lectures on Physics: The Definitive and Extended Edition (2nd ed.). Addison Wesley. </w:t>
      </w:r>
      <w:hyperlink r:id="rId10" w:tooltip="ISBN (identifier)" w:history="1">
        <w:r w:rsidRPr="006D0161">
          <w:rPr>
            <w:rStyle w:val="a3"/>
            <w:lang w:val="uk-UA"/>
          </w:rPr>
          <w:t>ISBN</w:t>
        </w:r>
      </w:hyperlink>
      <w:r w:rsidRPr="006D0161">
        <w:rPr>
          <w:lang w:val="uk-UA"/>
        </w:rPr>
        <w:t> </w:t>
      </w:r>
      <w:hyperlink r:id="rId11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2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1C96"/>
    <w:rsid w:val="000B6308"/>
    <w:rsid w:val="000F40F3"/>
    <w:rsid w:val="00122F7B"/>
    <w:rsid w:val="001338F0"/>
    <w:rsid w:val="0014740D"/>
    <w:rsid w:val="00160D76"/>
    <w:rsid w:val="00165380"/>
    <w:rsid w:val="00176EC2"/>
    <w:rsid w:val="001843CA"/>
    <w:rsid w:val="001923CD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C2494"/>
    <w:rsid w:val="002F2FBE"/>
    <w:rsid w:val="00334B8B"/>
    <w:rsid w:val="00356642"/>
    <w:rsid w:val="0038299D"/>
    <w:rsid w:val="00394EAB"/>
    <w:rsid w:val="003A0071"/>
    <w:rsid w:val="003A2C45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62360"/>
    <w:rsid w:val="007775BD"/>
    <w:rsid w:val="00784DF0"/>
    <w:rsid w:val="00786DE4"/>
    <w:rsid w:val="0078746B"/>
    <w:rsid w:val="007E2F08"/>
    <w:rsid w:val="00804175"/>
    <w:rsid w:val="00811A1B"/>
    <w:rsid w:val="00820893"/>
    <w:rsid w:val="00823A04"/>
    <w:rsid w:val="00824B5F"/>
    <w:rsid w:val="00861CDD"/>
    <w:rsid w:val="0086448E"/>
    <w:rsid w:val="00891937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7236D"/>
    <w:rsid w:val="00B7777E"/>
    <w:rsid w:val="00B95B67"/>
    <w:rsid w:val="00B97230"/>
    <w:rsid w:val="00BA226D"/>
    <w:rsid w:val="00BC540C"/>
    <w:rsid w:val="00BE5BA8"/>
    <w:rsid w:val="00C076BB"/>
    <w:rsid w:val="00C12838"/>
    <w:rsid w:val="00C4450C"/>
    <w:rsid w:val="00C4513F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A5EF0"/>
    <w:rsid w:val="00EB4CA5"/>
    <w:rsid w:val="00EC498A"/>
    <w:rsid w:val="00EE5B64"/>
    <w:rsid w:val="00EE7DAE"/>
    <w:rsid w:val="00EF3603"/>
    <w:rsid w:val="00F24A6B"/>
    <w:rsid w:val="00F264C9"/>
    <w:rsid w:val="00F5363A"/>
    <w:rsid w:val="00F64769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hyperlink" Target="https://tss.co.ua/plan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pecial:BookSources/0-8053-9045-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7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33</cp:revision>
  <dcterms:created xsi:type="dcterms:W3CDTF">2024-10-02T05:51:00Z</dcterms:created>
  <dcterms:modified xsi:type="dcterms:W3CDTF">2024-10-15T09:55:00Z</dcterms:modified>
</cp:coreProperties>
</file>