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40B23DA" w:rsidR="007775BD" w:rsidRDefault="007775BD" w:rsidP="006E3132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605B33">
        <w:rPr>
          <w:lang w:val="uk-UA"/>
        </w:rPr>
        <w:t>і не</w:t>
      </w:r>
      <w:r w:rsidR="00915CAB">
        <w:rPr>
          <w:lang w:val="uk-UA"/>
        </w:rPr>
        <w:t xml:space="preserve"> допоможе нашій інтуїції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</w:t>
      </w:r>
      <w:r w:rsidR="00915CAB">
        <w:rPr>
          <w:lang w:val="uk-UA"/>
        </w:rPr>
        <w:t>и</w:t>
      </w:r>
      <w:r w:rsidRPr="006D0161">
        <w:rPr>
          <w:lang w:val="uk-UA"/>
        </w:rPr>
        <w:t xml:space="preserve"> при їх відображенні</w:t>
      </w:r>
      <w:r w:rsidR="00A02D94" w:rsidRPr="006D0161">
        <w:rPr>
          <w:lang w:val="uk-UA"/>
        </w:rPr>
        <w:t xml:space="preserve"> не нада</w:t>
      </w:r>
      <w:r w:rsidR="00915CAB">
        <w:rPr>
          <w:lang w:val="uk-UA"/>
        </w:rPr>
        <w:t>ю</w:t>
      </w:r>
      <w:r w:rsidR="00A02D94" w:rsidRPr="006D0161">
        <w:rPr>
          <w:lang w:val="uk-UA"/>
        </w:rPr>
        <w:t>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22DCE5BE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</w:t>
      </w:r>
      <w:r w:rsidR="00C4513F">
        <w:rPr>
          <w:lang w:val="uk-UA"/>
        </w:rPr>
        <w:t>назва планети</w:t>
      </w:r>
      <w:r w:rsidRPr="006D0161">
        <w:rPr>
          <w:lang w:val="uk-UA"/>
        </w:rPr>
        <w:t>.</w:t>
      </w:r>
    </w:p>
    <w:p w14:paraId="5764345C" w14:textId="2D96787B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</w:t>
      </w:r>
      <w:r w:rsidR="0086448E">
        <w:rPr>
          <w:lang w:val="uk-UA"/>
        </w:rPr>
        <w:t xml:space="preserve">надмірно </w:t>
      </w:r>
      <w:r w:rsidR="0014740D">
        <w:rPr>
          <w:lang w:val="uk-UA"/>
        </w:rPr>
        <w:t xml:space="preserve">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709489D5" w14:textId="009A4C82" w:rsidR="00C460DE" w:rsidRDefault="00C460DE" w:rsidP="0086448E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  <w:r w:rsidR="0086448E">
        <w:rPr>
          <w:lang w:val="uk-UA"/>
        </w:rPr>
        <w:t xml:space="preserve"> </w:t>
      </w: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94643A9" w:rsidR="0014740D" w:rsidRPr="007F2939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</w:t>
      </w:r>
      <w:r w:rsidR="0086448E">
        <w:rPr>
          <w:lang w:val="uk-UA"/>
        </w:rPr>
        <w:t xml:space="preserve"> і виключить надмірну похибку </w:t>
      </w:r>
      <w:r>
        <w:rPr>
          <w:lang w:val="uk-UA"/>
        </w:rPr>
        <w:t>обчислюва</w:t>
      </w:r>
      <w:r w:rsidR="0086448E">
        <w:rPr>
          <w:lang w:val="uk-UA"/>
        </w:rPr>
        <w:t xml:space="preserve">нь. </w:t>
      </w:r>
      <w:r w:rsidR="00B97230">
        <w:rPr>
          <w:lang w:val="uk-UA"/>
        </w:rPr>
        <w:t xml:space="preserve">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4A7E69E5" w14:textId="1B8316C8" w:rsidR="006E3132" w:rsidRPr="006E3132" w:rsidRDefault="006E3132" w:rsidP="005461DE">
      <w:pPr>
        <w:rPr>
          <w:lang w:val="uk-UA"/>
        </w:rPr>
      </w:pPr>
      <w:r>
        <w:rPr>
          <w:lang w:val="uk-UA"/>
        </w:rPr>
        <w:t xml:space="preserve">Рух </w:t>
      </w:r>
      <w:r w:rsidR="00C4513F">
        <w:rPr>
          <w:lang w:val="uk-UA"/>
        </w:rPr>
        <w:t>планет</w:t>
      </w:r>
      <w:r>
        <w:rPr>
          <w:lang w:val="uk-UA"/>
        </w:rPr>
        <w:t xml:space="preserve"> стає більш наочним, якщо показувати їх </w:t>
      </w:r>
      <w:r w:rsidR="00C4513F">
        <w:rPr>
          <w:lang w:val="uk-UA"/>
        </w:rPr>
        <w:t>орбіти</w:t>
      </w:r>
      <w:r>
        <w:rPr>
          <w:lang w:val="uk-UA"/>
        </w:rPr>
        <w:t xml:space="preserve">. Кожна планета зберігає колекцію точок </w:t>
      </w:r>
      <w:r w:rsidR="001923CD">
        <w:rPr>
          <w:lang w:val="uk-UA"/>
        </w:rPr>
        <w:t>в яких вона побувала в попередні моменти дискретного часу. Ця колекція поповнюється під час руху планети і відображується на екрані у вигляді ломаної лінії. Завдяки  малим розмирам сегментів, ломана справляє враження гладкої кривої, як то насправді і є.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BD3A4" w:rsidR="005461DE" w:rsidRDefault="00467353" w:rsidP="001D4D57">
      <w:pPr>
        <w:rPr>
          <w:lang w:val="uk-UA"/>
        </w:rPr>
      </w:pPr>
      <w:r>
        <w:rPr>
          <w:lang w:val="uk-UA"/>
        </w:rPr>
        <w:lastRenderedPageBreak/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</w:t>
      </w:r>
      <w:r w:rsidR="00741B0B">
        <w:rPr>
          <w:lang w:val="uk-UA"/>
        </w:rPr>
        <w:t>створю</w:t>
      </w:r>
      <w:r w:rsidR="00CC6FB2">
        <w:rPr>
          <w:lang w:val="uk-UA"/>
        </w:rPr>
        <w:t xml:space="preserve">вати нові об’єкти. </w:t>
      </w:r>
    </w:p>
    <w:p w14:paraId="1FEC579C" w14:textId="3019CDF6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</w:t>
      </w:r>
      <w:r w:rsidR="00741B0B">
        <w:rPr>
          <w:lang w:val="uk-UA"/>
        </w:rPr>
        <w:t>створю</w:t>
      </w:r>
      <w:r>
        <w:rPr>
          <w:lang w:val="uk-UA"/>
        </w:rPr>
        <w:t xml:space="preserve">є </w:t>
      </w:r>
      <w:r w:rsidR="00741B0B" w:rsidRPr="00741B0B">
        <w:rPr>
          <w:lang w:val="uk-UA"/>
        </w:rPr>
        <w:t>спеціальний</w:t>
      </w:r>
      <w:r>
        <w:rPr>
          <w:lang w:val="uk-UA"/>
        </w:rPr>
        <w:t xml:space="preserve"> об’єкт – стартер, в який вкладає </w:t>
      </w:r>
      <w:r w:rsidR="00741B0B">
        <w:rPr>
          <w:lang w:val="uk-UA"/>
        </w:rPr>
        <w:t>дан</w:t>
      </w:r>
      <w:r>
        <w:rPr>
          <w:lang w:val="uk-UA"/>
        </w:rPr>
        <w:t xml:space="preserve">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223526CB" w:rsidR="00B97230" w:rsidRPr="00CC5CD7" w:rsidRDefault="00741B0B" w:rsidP="00FA3170">
      <w:pPr>
        <w:rPr>
          <w:lang w:val="uk-UA"/>
        </w:rPr>
      </w:pPr>
      <w:r>
        <w:rPr>
          <w:lang w:val="uk-UA"/>
        </w:rPr>
        <w:t>Як відомо, при запуску космічної ракети намагаються використати рух самої планети, тому п</w:t>
      </w:r>
      <w:r w:rsidR="00C95C3D">
        <w:rPr>
          <w:lang w:val="uk-UA"/>
        </w:rPr>
        <w:t xml:space="preserve">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 w:rsidR="00C95C3D">
        <w:rPr>
          <w:lang w:val="uk-UA"/>
        </w:rPr>
        <w:t xml:space="preserve">співпадає зі швидкістю материнської планети, а за </w:t>
      </w:r>
      <w:r>
        <w:rPr>
          <w:lang w:val="uk-UA"/>
        </w:rPr>
        <w:t>модулем</w:t>
      </w:r>
      <w:r w:rsidR="00C95C3D">
        <w:rPr>
          <w:lang w:val="uk-UA"/>
        </w:rPr>
        <w:t xml:space="preserve"> є сумою швидкості планети і відносної швидкості ракети, </w:t>
      </w:r>
      <w:r>
        <w:rPr>
          <w:lang w:val="uk-UA"/>
        </w:rPr>
        <w:t xml:space="preserve">тієї, що </w:t>
      </w:r>
      <w:r w:rsidR="00C95C3D">
        <w:rPr>
          <w:lang w:val="uk-UA"/>
        </w:rPr>
        <w:t>збереже</w:t>
      </w:r>
      <w:r>
        <w:rPr>
          <w:lang w:val="uk-UA"/>
        </w:rPr>
        <w:t>на</w:t>
      </w:r>
      <w:r w:rsidR="00C95C3D">
        <w:rPr>
          <w:lang w:val="uk-UA"/>
        </w:rPr>
        <w:t xml:space="preserve">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169F3CA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</w:t>
      </w:r>
      <w:r w:rsidR="00D5477D">
        <w:rPr>
          <w:lang w:val="uk-UA"/>
        </w:rPr>
        <w:t xml:space="preserve"> (його розглянемо пізніше)</w:t>
      </w:r>
      <w:r w:rsidR="007775BD" w:rsidRPr="006D0161">
        <w:rPr>
          <w:lang w:val="uk-UA"/>
        </w:rPr>
        <w:t xml:space="preserve">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7A72DC4" w:rsidR="00176EC2" w:rsidRPr="005A2D89" w:rsidRDefault="00122F7B" w:rsidP="005A2D89">
      <w:pPr>
        <w:rPr>
          <w:lang w:val="uk-UA"/>
        </w:rPr>
      </w:pPr>
      <w:r>
        <w:rPr>
          <w:lang w:val="uk-UA"/>
        </w:rPr>
        <w:lastRenderedPageBreak/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dzd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356642">
        <w:rPr>
          <w:rFonts w:eastAsiaTheme="minorEastAsia"/>
          <w:lang w:val="uk-UA"/>
        </w:rPr>
        <w:t>(рис. 1а)</w:t>
      </w:r>
      <w:r w:rsidR="005A2D89">
        <w:rPr>
          <w:rFonts w:eastAsiaTheme="minorEastAsia"/>
          <w:lang w:val="uk-UA"/>
        </w:rPr>
        <w:t>.</w:t>
      </w:r>
    </w:p>
    <w:p w14:paraId="00CAB0E9" w14:textId="5CB3000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26F97936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76F9195A" w14:textId="77777777" w:rsidR="007F2939" w:rsidRPr="004F46C5" w:rsidRDefault="007F2939" w:rsidP="007F2939">
      <w:pPr>
        <w:rPr>
          <w:rFonts w:eastAsiaTheme="minorEastAsia"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=0,0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ω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2EC515D1" w14:textId="2A29B5FA" w:rsidR="00AF7330" w:rsidRPr="004F46C5" w:rsidRDefault="00EE5B64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 w:rsidRPr="004F46C5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=p-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4E878B4E" w14:textId="77777777" w:rsidR="00DF5AF7" w:rsidRPr="004F46C5" w:rsidRDefault="00DF5AF7" w:rsidP="00EE5B64">
      <w:pPr>
        <w:ind w:firstLine="0"/>
        <w:rPr>
          <w:rFonts w:eastAsiaTheme="minorEastAsia"/>
          <w:iCs/>
          <w:lang w:val="uk-UA"/>
        </w:rPr>
      </w:pPr>
    </w:p>
    <w:p w14:paraId="15EC7D69" w14:textId="2A1FC54A" w:rsidR="00DF5AF7" w:rsidRDefault="00786DE4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E06A59" wp14:editId="1C269859">
            <wp:extent cx="4904510" cy="2657081"/>
            <wp:effectExtent l="0" t="0" r="0" b="0"/>
            <wp:docPr id="1692391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221" name="Рисунок 169239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0D1BC7D" w:rsidR="00D93E17" w:rsidRDefault="00DF5AF7" w:rsidP="00DF5AF7">
      <w:pPr>
        <w:pStyle w:val="aa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D40EB5"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4BB5834E" w14:textId="77777777" w:rsidR="00160D76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>Це прискорення залежить лише від положення частки і ви</w:t>
      </w:r>
      <w:r w:rsidR="00160D76">
        <w:rPr>
          <w:rFonts w:eastAsiaTheme="minorEastAsia"/>
          <w:lang w:val="uk-UA"/>
        </w:rPr>
        <w:t>рахову</w:t>
      </w:r>
      <w:r w:rsidR="004F46C5">
        <w:rPr>
          <w:rFonts w:eastAsiaTheme="minorEastAsia"/>
          <w:lang w:val="uk-UA"/>
        </w:rPr>
        <w:t xml:space="preserve">ється чисельним інтегруванням за формулою </w:t>
      </w:r>
      <w:r w:rsidR="00160D76">
        <w:rPr>
          <w:rFonts w:eastAsiaTheme="minorEastAsia"/>
          <w:lang w:val="uk-UA"/>
        </w:rPr>
        <w:t>(</w:t>
      </w:r>
      <w:r w:rsidR="004F46C5">
        <w:rPr>
          <w:rFonts w:eastAsiaTheme="minorEastAsia"/>
          <w:lang w:val="uk-UA"/>
        </w:rPr>
        <w:t>1</w:t>
      </w:r>
      <w:r w:rsidR="00160D76">
        <w:rPr>
          <w:rFonts w:eastAsiaTheme="minorEastAsia"/>
          <w:lang w:val="uk-UA"/>
        </w:rPr>
        <w:t>)</w:t>
      </w:r>
      <w:r w:rsidR="004F46C5">
        <w:rPr>
          <w:rFonts w:eastAsiaTheme="minorEastAsia"/>
          <w:lang w:val="uk-UA"/>
        </w:rPr>
        <w:t xml:space="preserve">. </w:t>
      </w:r>
      <w:r w:rsidR="00160D76">
        <w:rPr>
          <w:lang w:val="uk-UA"/>
        </w:rPr>
        <w:t>Запобігти падінню в центр</w:t>
      </w:r>
      <w:r w:rsidR="00786DE4">
        <w:rPr>
          <w:lang w:val="uk-UA"/>
        </w:rPr>
        <w:t xml:space="preserve">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 xml:space="preserve">і направлена під прямим кутом до напряму на центр. </w:t>
      </w:r>
    </w:p>
    <w:p w14:paraId="22137052" w14:textId="31F3E10F" w:rsidR="00160D76" w:rsidRDefault="00160D76" w:rsidP="00C4450C">
      <w:pPr>
        <w:pStyle w:val="ab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Обертатися навколо центру частка може в двох напрямках, по і проти стрілки годинника. Якщо якась доля часток обертається в протилежному напрямку до інших, збільшується кількість зіткнень і в туманності виникає щось подібне до хаотичного теплового руху</w:t>
      </w:r>
      <w:r w:rsidR="00D5477D" w:rsidRPr="00D5477D">
        <w:rPr>
          <w:rFonts w:eastAsiaTheme="minorEastAsia"/>
          <w:lang w:val="uk-UA"/>
        </w:rPr>
        <w:t>.</w:t>
      </w:r>
      <w:r w:rsidR="00D5477D">
        <w:rPr>
          <w:rFonts w:eastAsiaTheme="minorEastAsia"/>
          <w:lang w:val="uk-UA"/>
        </w:rPr>
        <w:t xml:space="preserve"> Х</w:t>
      </w:r>
      <w:r>
        <w:rPr>
          <w:rFonts w:eastAsiaTheme="minorEastAsia"/>
          <w:lang w:val="uk-UA"/>
        </w:rPr>
        <w:t xml:space="preserve">аотичність зростає з наближенням долі часток до </w:t>
      </w:r>
      <w:r w:rsidR="00D5477D">
        <w:rPr>
          <w:rFonts w:eastAsiaTheme="minorEastAsia"/>
          <w:lang w:val="uk-UA"/>
        </w:rPr>
        <w:t>половини від загальної кількості</w:t>
      </w:r>
      <w:r w:rsidR="00D5477D" w:rsidRPr="00D5477D">
        <w:rPr>
          <w:rFonts w:eastAsiaTheme="minorEastAsia"/>
          <w:lang w:val="uk-UA"/>
        </w:rPr>
        <w:t>.</w:t>
      </w:r>
      <w:r>
        <w:rPr>
          <w:rFonts w:eastAsiaTheme="minorEastAsia"/>
          <w:lang w:val="uk-UA"/>
        </w:rPr>
        <w:t xml:space="preserve"> </w:t>
      </w:r>
      <w:r w:rsidR="00D5477D">
        <w:rPr>
          <w:rFonts w:eastAsiaTheme="minorEastAsia"/>
          <w:lang w:val="uk-UA"/>
        </w:rPr>
        <w:t xml:space="preserve">Цим можна скористатися для імітації ще одного аспекту поведінки сукупності часток – теплового руху. При створенні туманності доля часток, які обертаються </w:t>
      </w:r>
      <w:r w:rsidR="00811A1B">
        <w:rPr>
          <w:rFonts w:eastAsiaTheme="minorEastAsia"/>
          <w:lang w:val="uk-UA"/>
        </w:rPr>
        <w:t>за часовою стрілкою, задається окремим параметром - фактором обертання.</w:t>
      </w:r>
    </w:p>
    <w:p w14:paraId="4E3F5075" w14:textId="77777777" w:rsidR="00811A1B" w:rsidRPr="00811A1B" w:rsidRDefault="00811A1B" w:rsidP="00C4450C">
      <w:pPr>
        <w:pStyle w:val="ab"/>
        <w:rPr>
          <w:rFonts w:eastAsiaTheme="minorEastAsia"/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Конструктор сцен</w:t>
      </w:r>
    </w:p>
    <w:p w14:paraId="5CCB14B8" w14:textId="4C166B5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>, такі як маса, розмір</w:t>
      </w:r>
      <w:r w:rsidR="00D40EB5">
        <w:rPr>
          <w:lang w:val="uk-UA"/>
        </w:rPr>
        <w:t>,</w:t>
      </w:r>
      <w:r w:rsidRPr="006D0161">
        <w:rPr>
          <w:lang w:val="uk-UA"/>
        </w:rPr>
        <w:t xml:space="preserve"> положення</w:t>
      </w:r>
      <w:r w:rsidR="00D40EB5">
        <w:rPr>
          <w:lang w:val="uk-UA"/>
        </w:rPr>
        <w:t xml:space="preserve"> у просторі</w:t>
      </w:r>
      <w:r w:rsidRPr="006D0161">
        <w:rPr>
          <w:lang w:val="uk-UA"/>
        </w:rPr>
        <w:t xml:space="preserve">, початкова швидкість тощо. </w:t>
      </w:r>
    </w:p>
    <w:p w14:paraId="75E6ADFB" w14:textId="4A1AE992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</w:t>
      </w:r>
      <w:r w:rsidR="00D40EB5">
        <w:rPr>
          <w:lang w:val="uk-UA"/>
        </w:rPr>
        <w:t>Т</w:t>
      </w:r>
      <w:r w:rsidR="00D40EB5" w:rsidRPr="006D0161">
        <w:rPr>
          <w:lang w:val="uk-UA"/>
        </w:rPr>
        <w:t xml:space="preserve">акож </w:t>
      </w:r>
      <w:r w:rsidR="00D40EB5">
        <w:rPr>
          <w:lang w:val="uk-UA"/>
        </w:rPr>
        <w:t>м</w:t>
      </w:r>
      <w:r w:rsidRPr="006D0161">
        <w:rPr>
          <w:lang w:val="uk-UA"/>
        </w:rPr>
        <w:t>ож</w:t>
      </w:r>
      <w:r w:rsidR="00D40EB5">
        <w:rPr>
          <w:lang w:val="uk-UA"/>
        </w:rPr>
        <w:t>ливо</w:t>
      </w:r>
      <w:r w:rsidRPr="006D0161">
        <w:rPr>
          <w:lang w:val="uk-UA"/>
        </w:rPr>
        <w:t xml:space="preserve"> </w:t>
      </w:r>
      <w:r w:rsidR="00D40E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F523F" wp14:editId="187658A5">
                <wp:simplePos x="0" y="0"/>
                <wp:positionH relativeFrom="column">
                  <wp:posOffset>429895</wp:posOffset>
                </wp:positionH>
                <wp:positionV relativeFrom="paragraph">
                  <wp:posOffset>5260340</wp:posOffset>
                </wp:positionV>
                <wp:extent cx="5623560" cy="304800"/>
                <wp:effectExtent l="0" t="0" r="0" b="0"/>
                <wp:wrapTopAndBottom/>
                <wp:docPr id="132018567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9FCAA" w14:textId="67E71EE4" w:rsidR="00D40EB5" w:rsidRPr="00E61F8C" w:rsidRDefault="00D40EB5" w:rsidP="00D40EB5">
                            <w:pPr>
                              <w:pStyle w:val="aa"/>
                              <w:jc w:val="center"/>
                              <w:rPr>
                                <w:lang w:val="uk-UA"/>
                              </w:rPr>
                            </w:pPr>
                            <w:r w:rsidRPr="00D40EB5"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– Конструктор сцен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F523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3.85pt;margin-top:414.2pt;width:442.8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" stroked="f">
                <v:textbox inset="0,0,0,0">
                  <w:txbxContent>
                    <w:p w14:paraId="0849FCAA" w14:textId="67E71EE4" w:rsidR="00D40EB5" w:rsidRPr="00E61F8C" w:rsidRDefault="00D40EB5" w:rsidP="00D40EB5">
                      <w:pPr>
                        <w:pStyle w:val="aa"/>
                        <w:jc w:val="center"/>
                        <w:rPr>
                          <w:lang w:val="uk-UA"/>
                        </w:rPr>
                      </w:pPr>
                      <w:r w:rsidRPr="00D40EB5">
                        <w:rPr>
                          <w:lang w:val="uk-UA"/>
                        </w:rPr>
                        <w:t xml:space="preserve">Рисунок 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– Конструктор сцен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40EB5" w:rsidRPr="006D0161"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5C62D4F5" wp14:editId="6E4B2CDA">
            <wp:simplePos x="0" y="0"/>
            <wp:positionH relativeFrom="column">
              <wp:posOffset>427990</wp:posOffset>
            </wp:positionH>
            <wp:positionV relativeFrom="paragraph">
              <wp:posOffset>492125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DAD7FE7" w14:textId="5003ED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9E1A56">
        <w:rPr>
          <w:lang w:val="uk-UA"/>
        </w:rPr>
        <w:t xml:space="preserve">Орбіти планет і </w:t>
      </w:r>
      <w:r w:rsidR="009E1A56">
        <w:rPr>
          <w:lang w:val="uk-UA"/>
        </w:rPr>
        <w:t xml:space="preserve">траєкторії </w:t>
      </w:r>
      <w:r w:rsidR="00CF29C4" w:rsidRPr="009E1A56">
        <w:rPr>
          <w:lang w:val="uk-UA"/>
        </w:rPr>
        <w:t>ракет</w:t>
      </w:r>
      <w:r w:rsidRPr="009E1A56">
        <w:rPr>
          <w:lang w:val="uk-UA"/>
        </w:rPr>
        <w:t xml:space="preserve"> можна показати або приховати.</w:t>
      </w:r>
      <w:r w:rsidRPr="006D0161">
        <w:rPr>
          <w:lang w:val="uk-UA"/>
        </w:rPr>
        <w:t xml:space="preserve"> Масштаб зображення можна змінювати в широких межах. Все перелічене здійснюється за допомогою панелі керування</w:t>
      </w:r>
      <w:r w:rsidR="009E1A56">
        <w:rPr>
          <w:lang w:val="uk-UA"/>
        </w:rPr>
        <w:t xml:space="preserve">, розташованій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. Панель можна </w:t>
      </w:r>
      <w:r w:rsidR="009E1A56">
        <w:rPr>
          <w:lang w:val="uk-UA"/>
        </w:rPr>
        <w:t>згорну</w:t>
      </w:r>
      <w:r w:rsidRPr="006D0161">
        <w:rPr>
          <w:lang w:val="uk-UA"/>
        </w:rPr>
        <w:t>ти</w:t>
      </w:r>
      <w:r w:rsidR="009E1A56">
        <w:rPr>
          <w:lang w:val="uk-UA"/>
        </w:rPr>
        <w:t xml:space="preserve"> в кнопку</w:t>
      </w:r>
      <w:r w:rsidRPr="006D0161">
        <w:rPr>
          <w:lang w:val="uk-UA"/>
        </w:rPr>
        <w:t>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lastRenderedPageBreak/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Default="00B314BD" w:rsidP="00B314BD">
      <w:pPr>
        <w:ind w:firstLine="0"/>
        <w:rPr>
          <w:lang w:val="uk-UA"/>
        </w:rPr>
      </w:pPr>
    </w:p>
    <w:p w14:paraId="619D7C33" w14:textId="14377245" w:rsidR="00D40EB5" w:rsidRPr="00F24A6B" w:rsidRDefault="00D40EB5" w:rsidP="00B314BD">
      <w:pPr>
        <w:ind w:firstLine="0"/>
        <w:rPr>
          <w:highlight w:val="yellow"/>
          <w:lang w:val="uk-UA"/>
        </w:rPr>
      </w:pPr>
      <w:r w:rsidRPr="00F24A6B">
        <w:rPr>
          <w:highlight w:val="yellow"/>
          <w:lang w:val="uk-UA"/>
        </w:rPr>
        <w:t>Про орбіти</w:t>
      </w:r>
    </w:p>
    <w:p w14:paraId="3C669662" w14:textId="59EBEA9F" w:rsidR="00D40EB5" w:rsidRDefault="00D40EB5" w:rsidP="00B314BD">
      <w:pPr>
        <w:ind w:firstLine="0"/>
        <w:rPr>
          <w:lang w:val="uk-UA"/>
        </w:rPr>
      </w:pPr>
      <w:r w:rsidRPr="00F24A6B">
        <w:rPr>
          <w:highlight w:val="yellow"/>
          <w:lang w:val="uk-UA"/>
        </w:rPr>
        <w:t>Про стартери</w:t>
      </w:r>
    </w:p>
    <w:p w14:paraId="459CEAEA" w14:textId="7B88755A" w:rsidR="00F24A6B" w:rsidRDefault="00F24A6B" w:rsidP="00B314BD">
      <w:pPr>
        <w:ind w:firstLine="0"/>
        <w:rPr>
          <w:lang w:val="uk-UA"/>
        </w:rPr>
      </w:pPr>
      <w:r>
        <w:rPr>
          <w:lang w:val="uk-UA"/>
        </w:rPr>
        <w:t xml:space="preserve">Планета – в пояс </w:t>
      </w:r>
      <w:proofErr w:type="spellStart"/>
      <w:r>
        <w:rPr>
          <w:lang w:val="uk-UA"/>
        </w:rPr>
        <w:t>астероідів</w:t>
      </w:r>
      <w:proofErr w:type="spellEnd"/>
      <w:r>
        <w:rPr>
          <w:lang w:val="uk-UA"/>
        </w:rPr>
        <w:t xml:space="preserve"> ?</w:t>
      </w:r>
    </w:p>
    <w:p w14:paraId="3C69142D" w14:textId="77777777" w:rsidR="00F24A6B" w:rsidRPr="00D40EB5" w:rsidRDefault="00F24A6B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lastRenderedPageBreak/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10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1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A86DBB3" w14:textId="746CDD00" w:rsidR="007F2939" w:rsidRPr="003A3366" w:rsidRDefault="007F2939" w:rsidP="007F293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M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</m:t>
          </m:r>
          <m:r>
            <w:rPr>
              <w:rFonts w:ascii="Cambria Math" w:eastAsiaTheme="minorEastAsia" w:hAnsi="Cambria Math" w:cstheme="minorHAnsi"/>
              <w:lang w:val="uk-UA"/>
            </w:rPr>
            <m:t>1</m:t>
          </m:r>
          <m:r>
            <w:rPr>
              <w:rFonts w:ascii="Cambria Math" w:eastAsiaTheme="minorEastAsia" w:hAnsi="Cambria Math" w:cstheme="minorHAnsi"/>
            </w:rPr>
            <m:t>'</m:t>
          </m:r>
          <m:r>
            <w:rPr>
              <w:rFonts w:ascii="Cambria Math" w:eastAsiaTheme="minorEastAsia" w:hAnsi="Cambria Math" w:cstheme="minorHAnsi"/>
              <w:lang w:val="uk-UA"/>
            </w:rPr>
            <m:t>)</m:t>
          </m:r>
        </m:oMath>
      </m:oMathPara>
    </w:p>
    <w:p w14:paraId="42A72B28" w14:textId="2DA15A70" w:rsidR="007F2939" w:rsidRPr="007F2939" w:rsidRDefault="007F2939" w:rsidP="007F2939">
      <w:pPr>
        <w:ind w:firstLine="0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-x)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</m:e>
        </m:rad>
      </m:oMath>
      <w:r w:rsidRPr="00AF7330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>,</w:t>
      </w:r>
      <w:r w:rsidRPr="004F46C5">
        <w:rPr>
          <w:rFonts w:eastAsiaTheme="minorEastAsia"/>
          <w:iCs/>
          <w:lang w:val="uk-UA"/>
        </w:rPr>
        <w:t xml:space="preserve">  </w:t>
      </w:r>
      <w:r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 ? 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uk-UA"/>
          </w:rPr>
          <m:t xml:space="preserve"> :0</m:t>
        </m:r>
      </m:oMath>
      <w:r w:rsidRPr="007F2939">
        <w:rPr>
          <w:rFonts w:eastAsiaTheme="minorEastAsia"/>
          <w:lang w:val="uk-UA"/>
        </w:rPr>
        <w:t xml:space="preserve">  .</w:t>
      </w: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0304"/>
    <w:rsid w:val="00082A3B"/>
    <w:rsid w:val="000A2BB3"/>
    <w:rsid w:val="000B1C96"/>
    <w:rsid w:val="000B6308"/>
    <w:rsid w:val="000F40F3"/>
    <w:rsid w:val="00122F7B"/>
    <w:rsid w:val="001338F0"/>
    <w:rsid w:val="0014740D"/>
    <w:rsid w:val="00160D76"/>
    <w:rsid w:val="00165380"/>
    <w:rsid w:val="00176EC2"/>
    <w:rsid w:val="001843CA"/>
    <w:rsid w:val="001923CD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56642"/>
    <w:rsid w:val="0038299D"/>
    <w:rsid w:val="00394EAB"/>
    <w:rsid w:val="003A0071"/>
    <w:rsid w:val="003A2C45"/>
    <w:rsid w:val="003A3366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15CE3"/>
    <w:rsid w:val="005461DE"/>
    <w:rsid w:val="00550E38"/>
    <w:rsid w:val="005711F6"/>
    <w:rsid w:val="005A2D89"/>
    <w:rsid w:val="005C4963"/>
    <w:rsid w:val="00605B33"/>
    <w:rsid w:val="00612681"/>
    <w:rsid w:val="00621302"/>
    <w:rsid w:val="00635A31"/>
    <w:rsid w:val="00643EF4"/>
    <w:rsid w:val="00661C6B"/>
    <w:rsid w:val="0068175B"/>
    <w:rsid w:val="006D0161"/>
    <w:rsid w:val="006E3132"/>
    <w:rsid w:val="00702651"/>
    <w:rsid w:val="0073223D"/>
    <w:rsid w:val="00741B0B"/>
    <w:rsid w:val="007421E3"/>
    <w:rsid w:val="00742849"/>
    <w:rsid w:val="00762360"/>
    <w:rsid w:val="007775BD"/>
    <w:rsid w:val="00784DF0"/>
    <w:rsid w:val="00786DE4"/>
    <w:rsid w:val="0078746B"/>
    <w:rsid w:val="007E2F08"/>
    <w:rsid w:val="007F2939"/>
    <w:rsid w:val="00804175"/>
    <w:rsid w:val="00811A1B"/>
    <w:rsid w:val="00820893"/>
    <w:rsid w:val="00823A04"/>
    <w:rsid w:val="00824B5F"/>
    <w:rsid w:val="00861CDD"/>
    <w:rsid w:val="0086448E"/>
    <w:rsid w:val="00891937"/>
    <w:rsid w:val="008C3779"/>
    <w:rsid w:val="009043F4"/>
    <w:rsid w:val="00906FC3"/>
    <w:rsid w:val="00915CAB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9E1A56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42BC8"/>
    <w:rsid w:val="00B7236D"/>
    <w:rsid w:val="00B7777E"/>
    <w:rsid w:val="00B77A31"/>
    <w:rsid w:val="00B95B67"/>
    <w:rsid w:val="00B97230"/>
    <w:rsid w:val="00BA226D"/>
    <w:rsid w:val="00BC540C"/>
    <w:rsid w:val="00BE5BA8"/>
    <w:rsid w:val="00C076BB"/>
    <w:rsid w:val="00C12838"/>
    <w:rsid w:val="00C4450C"/>
    <w:rsid w:val="00C4513F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40EB5"/>
    <w:rsid w:val="00D53729"/>
    <w:rsid w:val="00D5477D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A5EF0"/>
    <w:rsid w:val="00EB4CA5"/>
    <w:rsid w:val="00EC498A"/>
    <w:rsid w:val="00EE5B64"/>
    <w:rsid w:val="00EE7DAE"/>
    <w:rsid w:val="00EF3603"/>
    <w:rsid w:val="00F24A6B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ss.co.ua/plan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pecial:BookSources/0-8053-90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7</Pages>
  <Words>2853</Words>
  <Characters>16263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37</cp:revision>
  <dcterms:created xsi:type="dcterms:W3CDTF">2024-10-02T05:51:00Z</dcterms:created>
  <dcterms:modified xsi:type="dcterms:W3CDTF">2024-10-15T18:14:00Z</dcterms:modified>
</cp:coreProperties>
</file>