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11A09148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можуть утворюватися довільні агрегати з куль, на кшталт неорієнтованих зв’язаних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572ED1B3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77777777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r>
        <w:rPr>
          <w:lang w:val="uk-UA"/>
        </w:rPr>
        <w:t>скачків</w:t>
      </w:r>
      <w:r w:rsidR="00A62E30">
        <w:rPr>
          <w:lang w:val="uk-UA"/>
        </w:rPr>
        <w:t xml:space="preserve"> першій похідній тобто швидкості (малих скачків позбутися неможливо, бо вони необхідна умова чисельного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треба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52456ED9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>відповідає закону Гука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кулі, і це доречно, бо кулі можуть стикатися з кулями.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77777777" w:rsidR="00CA793D" w:rsidRDefault="0049422E" w:rsidP="00040B20">
      <w:pPr>
        <w:rPr>
          <w:lang w:val="uk-UA"/>
        </w:rPr>
      </w:pPr>
      <w:r>
        <w:rPr>
          <w:lang w:val="uk-UA"/>
        </w:rPr>
        <w:t>Обчислення циклічні, один цикл 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7E7893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2746678B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виділені вектори.</w:t>
      </w:r>
    </w:p>
    <w:p w14:paraId="40FC0EDE" w14:textId="6D9D52D0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Гука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7E7893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B49A957" w:rsidR="00321762" w:rsidRPr="00321762" w:rsidRDefault="007E7893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4A08B529" w:rsidR="00321762" w:rsidRPr="00321762" w:rsidRDefault="007E7893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r>
        <w:rPr>
          <w:rFonts w:cstheme="minorHAnsi"/>
        </w:rPr>
        <w:t>Δt</w:t>
      </w:r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7E7893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Гука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Гука,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7E7893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591763A8" w14:textId="77777777" w:rsidR="00F3475D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Вимірювати будемо </w:t>
      </w:r>
      <w:r w:rsidR="00F3475D">
        <w:rPr>
          <w:lang w:val="uk-UA"/>
        </w:rPr>
        <w:t xml:space="preserve">деформацію і </w:t>
      </w:r>
      <w:r w:rsidR="002B2F3C">
        <w:rPr>
          <w:lang w:val="uk-UA"/>
        </w:rPr>
        <w:t xml:space="preserve">швидкість </w:t>
      </w:r>
      <w:r w:rsidR="00F3475D">
        <w:rPr>
          <w:lang w:val="uk-UA"/>
        </w:rPr>
        <w:t xml:space="preserve">в процесі стикання. </w:t>
      </w:r>
    </w:p>
    <w:p w14:paraId="325BB9EB" w14:textId="77777777" w:rsidR="00F3475D" w:rsidRDefault="00F3475D" w:rsidP="00982138">
      <w:pPr>
        <w:rPr>
          <w:lang w:val="uk-UA"/>
        </w:rPr>
      </w:pPr>
    </w:p>
    <w:p w14:paraId="6226CB47" w14:textId="77777777" w:rsidR="00F3475D" w:rsidRDefault="00F3475D" w:rsidP="00982138">
      <w:pPr>
        <w:rPr>
          <w:lang w:val="uk-UA"/>
        </w:rPr>
      </w:pPr>
    </w:p>
    <w:p w14:paraId="3D9044AC" w14:textId="03F82818" w:rsidR="00982138" w:rsidRPr="00776898" w:rsidRDefault="002B2F3C" w:rsidP="00982138">
      <w:r>
        <w:rPr>
          <w:lang w:val="uk-UA"/>
        </w:rPr>
        <w:t xml:space="preserve">після повного завершення зіткнення і вираховувати </w:t>
      </w:r>
      <w:r w:rsidR="00681FDB">
        <w:rPr>
          <w:lang w:val="uk-UA"/>
        </w:rPr>
        <w:t xml:space="preserve">відносну похибку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</m:t>
        </m:r>
      </m:oMath>
      <w:r w:rsidR="00681FDB">
        <w:rPr>
          <w:rFonts w:eastAsiaTheme="minorEastAsia"/>
        </w:rPr>
        <w:t xml:space="preserve"> , </w:t>
      </w:r>
      <w:r w:rsidR="00681FDB">
        <w:rPr>
          <w:rFonts w:eastAsiaTheme="minorEastAsia"/>
          <w:lang w:val="uk-UA"/>
        </w:rPr>
        <w:t xml:space="preserve">де </w:t>
      </w:r>
      <w:r w:rsidR="00681FDB">
        <w:rPr>
          <w:rFonts w:eastAsiaTheme="minorEastAsia"/>
        </w:rPr>
        <w:t xml:space="preserve">v – </w:t>
      </w:r>
      <w:r w:rsidR="00681FDB">
        <w:rPr>
          <w:rFonts w:eastAsiaTheme="minorEastAsia"/>
          <w:lang w:val="uk-UA"/>
        </w:rPr>
        <w:t xml:space="preserve">швидкість кулі до зіткнення, </w:t>
      </w:r>
      <w:r w:rsidR="00681FDB">
        <w:rPr>
          <w:rFonts w:eastAsiaTheme="minorEastAsia"/>
        </w:rPr>
        <w:t xml:space="preserve">v’ – </w:t>
      </w:r>
      <w:r w:rsidR="00681FDB">
        <w:rPr>
          <w:rFonts w:eastAsiaTheme="minorEastAsia"/>
          <w:lang w:val="uk-UA"/>
        </w:rPr>
        <w:t>швидкість кулі після зіткнення.</w:t>
      </w:r>
      <w:r w:rsidR="00776898">
        <w:rPr>
          <w:rFonts w:eastAsiaTheme="minorEastAsia"/>
          <w:lang w:val="uk-UA"/>
        </w:rPr>
        <w:t xml:space="preserve"> Як можна було очікувати, похибка залежить від кількості точок дискретизації їх розташування відносно </w:t>
      </w:r>
      <w:r w:rsidR="004576E2">
        <w:rPr>
          <w:rFonts w:eastAsiaTheme="minorEastAsia"/>
          <w:lang w:val="uk-UA"/>
        </w:rPr>
        <w:t>моменту зустрічі кулі з перешкодою.</w:t>
      </w:r>
    </w:p>
    <w:p w14:paraId="3DBE2906" w14:textId="0B261589" w:rsidR="00CE6815" w:rsidRDefault="008662B1" w:rsidP="00982138">
      <w:pPr>
        <w:rPr>
          <w:lang w:val="uk-UA"/>
        </w:rPr>
      </w:pPr>
      <w:r>
        <w:t xml:space="preserve">k/m – </w:t>
      </w:r>
      <w:r>
        <w:rPr>
          <w:lang w:val="uk-UA"/>
        </w:rPr>
        <w:t>чинник точності</w:t>
      </w:r>
    </w:p>
    <w:p w14:paraId="6DB135CC" w14:textId="77777777" w:rsidR="008662B1" w:rsidRPr="008662B1" w:rsidRDefault="008662B1" w:rsidP="00982138">
      <w:pPr>
        <w:rPr>
          <w:lang w:val="uk-UA"/>
        </w:rPr>
      </w:pPr>
    </w:p>
    <w:p w14:paraId="5C709AA7" w14:textId="69C78C30" w:rsidR="00CE6815" w:rsidRPr="00CE6815" w:rsidRDefault="00CE6815" w:rsidP="00982138">
      <w:pPr>
        <w:rPr>
          <w:u w:val="double"/>
        </w:rPr>
      </w:pPr>
    </w:p>
    <w:p w14:paraId="0D16A062" w14:textId="77777777" w:rsidR="00264BBF" w:rsidRPr="00982138" w:rsidRDefault="00264BBF" w:rsidP="00982138">
      <w:pPr>
        <w:rPr>
          <w:lang w:val="uk-UA"/>
        </w:rPr>
      </w:pP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21E4E2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t>Можливі з</w:t>
      </w:r>
      <w:r w:rsidR="00D86E00">
        <w:rPr>
          <w:lang w:val="uk-UA"/>
        </w:rPr>
        <w:t>авдання</w:t>
      </w:r>
    </w:p>
    <w:p w14:paraId="3B64AF66" w14:textId="20A9A4AA" w:rsidR="00CA6764" w:rsidRDefault="00D86E00">
      <w:pPr>
        <w:rPr>
          <w:lang w:val="uk-UA"/>
        </w:rPr>
      </w:pPr>
      <w:r>
        <w:rPr>
          <w:lang w:val="uk-UA"/>
        </w:rPr>
        <w:t>Обчислити прискорення тяжіння за допомогою кулі на похилій площині.</w:t>
      </w:r>
    </w:p>
    <w:p w14:paraId="46291426" w14:textId="307D0A2D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пострілу прямо угору.</w:t>
      </w:r>
    </w:p>
    <w:p w14:paraId="754C11AD" w14:textId="42FE8A07" w:rsidR="00D86E00" w:rsidRDefault="00D86E00">
      <w:pPr>
        <w:rPr>
          <w:lang w:val="uk-UA"/>
        </w:rPr>
      </w:pPr>
      <w:r>
        <w:rPr>
          <w:lang w:val="uk-UA"/>
        </w:rPr>
        <w:t>Визначити час падіння з заданої висоти</w:t>
      </w:r>
    </w:p>
    <w:p w14:paraId="61F64BD2" w14:textId="77777777" w:rsidR="00CA6764" w:rsidRDefault="00CA6764">
      <w:pPr>
        <w:rPr>
          <w:lang w:val="uk-UA"/>
        </w:rPr>
      </w:pPr>
    </w:p>
    <w:p w14:paraId="011524C7" w14:textId="453353B4" w:rsidR="00D86E00" w:rsidRDefault="00D86E00">
      <w:pPr>
        <w:rPr>
          <w:lang w:val="uk-UA"/>
        </w:rPr>
      </w:pPr>
      <w:r>
        <w:rPr>
          <w:lang w:val="uk-UA"/>
        </w:rPr>
        <w:t>Влучити в певну ціль пострілом по параболі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7777777" w:rsidR="00D86E00" w:rsidRDefault="00D86E00">
      <w:pPr>
        <w:rPr>
          <w:lang w:val="uk-UA"/>
        </w:rPr>
      </w:pPr>
    </w:p>
    <w:p w14:paraId="0D43C4B9" w14:textId="77777777" w:rsidR="00D86E00" w:rsidRPr="00D86E00" w:rsidRDefault="00D86E00">
      <w:pPr>
        <w:rPr>
          <w:lang w:val="uk-UA"/>
        </w:rPr>
      </w:pP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45984"/>
    <w:rsid w:val="00060225"/>
    <w:rsid w:val="00075879"/>
    <w:rsid w:val="00076B1D"/>
    <w:rsid w:val="000833E6"/>
    <w:rsid w:val="000843D8"/>
    <w:rsid w:val="00095EBB"/>
    <w:rsid w:val="000B74E7"/>
    <w:rsid w:val="000C0E54"/>
    <w:rsid w:val="000C25A8"/>
    <w:rsid w:val="000E65DD"/>
    <w:rsid w:val="00115C5A"/>
    <w:rsid w:val="001243BF"/>
    <w:rsid w:val="001263A5"/>
    <w:rsid w:val="001450AA"/>
    <w:rsid w:val="00154A2A"/>
    <w:rsid w:val="001732D9"/>
    <w:rsid w:val="001C3514"/>
    <w:rsid w:val="001D6B13"/>
    <w:rsid w:val="001F772C"/>
    <w:rsid w:val="002021A7"/>
    <w:rsid w:val="00227A33"/>
    <w:rsid w:val="00234DD3"/>
    <w:rsid w:val="002629E5"/>
    <w:rsid w:val="00264BBF"/>
    <w:rsid w:val="002917CF"/>
    <w:rsid w:val="002A4065"/>
    <w:rsid w:val="002B20F5"/>
    <w:rsid w:val="002B2F3C"/>
    <w:rsid w:val="002C5927"/>
    <w:rsid w:val="002D5847"/>
    <w:rsid w:val="002D67B2"/>
    <w:rsid w:val="002E398E"/>
    <w:rsid w:val="002F6FE2"/>
    <w:rsid w:val="002F78AF"/>
    <w:rsid w:val="00307692"/>
    <w:rsid w:val="003077AC"/>
    <w:rsid w:val="003210EB"/>
    <w:rsid w:val="00321762"/>
    <w:rsid w:val="00336D1B"/>
    <w:rsid w:val="003562C5"/>
    <w:rsid w:val="00371D6B"/>
    <w:rsid w:val="00375C24"/>
    <w:rsid w:val="00394505"/>
    <w:rsid w:val="003A5283"/>
    <w:rsid w:val="003D2AC7"/>
    <w:rsid w:val="003E36C6"/>
    <w:rsid w:val="00413C8B"/>
    <w:rsid w:val="00423406"/>
    <w:rsid w:val="00424C55"/>
    <w:rsid w:val="00437ED1"/>
    <w:rsid w:val="00445319"/>
    <w:rsid w:val="004576E2"/>
    <w:rsid w:val="004604E7"/>
    <w:rsid w:val="0049422E"/>
    <w:rsid w:val="004B193C"/>
    <w:rsid w:val="004E296D"/>
    <w:rsid w:val="00537CFB"/>
    <w:rsid w:val="00566C39"/>
    <w:rsid w:val="005835D2"/>
    <w:rsid w:val="00594B39"/>
    <w:rsid w:val="005A1951"/>
    <w:rsid w:val="005B448B"/>
    <w:rsid w:val="005B609D"/>
    <w:rsid w:val="005C0393"/>
    <w:rsid w:val="005D2E58"/>
    <w:rsid w:val="005E05C0"/>
    <w:rsid w:val="005E4CA8"/>
    <w:rsid w:val="005F1D9B"/>
    <w:rsid w:val="005F632B"/>
    <w:rsid w:val="006115AF"/>
    <w:rsid w:val="00641A2D"/>
    <w:rsid w:val="00652DB0"/>
    <w:rsid w:val="00681FDB"/>
    <w:rsid w:val="00711C0F"/>
    <w:rsid w:val="007319CA"/>
    <w:rsid w:val="00756C21"/>
    <w:rsid w:val="00763528"/>
    <w:rsid w:val="00767973"/>
    <w:rsid w:val="00770FE9"/>
    <w:rsid w:val="00776898"/>
    <w:rsid w:val="007A03BE"/>
    <w:rsid w:val="007D6748"/>
    <w:rsid w:val="007D7B69"/>
    <w:rsid w:val="007E4747"/>
    <w:rsid w:val="00803EF4"/>
    <w:rsid w:val="008359F3"/>
    <w:rsid w:val="00865C49"/>
    <w:rsid w:val="008662B1"/>
    <w:rsid w:val="00887A33"/>
    <w:rsid w:val="00891937"/>
    <w:rsid w:val="008C7256"/>
    <w:rsid w:val="00911FD3"/>
    <w:rsid w:val="00912296"/>
    <w:rsid w:val="00914948"/>
    <w:rsid w:val="00926B8C"/>
    <w:rsid w:val="009318C3"/>
    <w:rsid w:val="0093666D"/>
    <w:rsid w:val="00942255"/>
    <w:rsid w:val="00956199"/>
    <w:rsid w:val="00960FBB"/>
    <w:rsid w:val="0098160D"/>
    <w:rsid w:val="00982138"/>
    <w:rsid w:val="0099319A"/>
    <w:rsid w:val="009F2B8C"/>
    <w:rsid w:val="009F5972"/>
    <w:rsid w:val="009F71FC"/>
    <w:rsid w:val="00A06895"/>
    <w:rsid w:val="00A2169B"/>
    <w:rsid w:val="00A24DA5"/>
    <w:rsid w:val="00A4060D"/>
    <w:rsid w:val="00A56C6B"/>
    <w:rsid w:val="00A62E30"/>
    <w:rsid w:val="00AC3573"/>
    <w:rsid w:val="00AF3744"/>
    <w:rsid w:val="00B04D1E"/>
    <w:rsid w:val="00B206E0"/>
    <w:rsid w:val="00B30417"/>
    <w:rsid w:val="00B30D1F"/>
    <w:rsid w:val="00B4041B"/>
    <w:rsid w:val="00B7777E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A167E"/>
    <w:rsid w:val="00CA6764"/>
    <w:rsid w:val="00CA793D"/>
    <w:rsid w:val="00CB5DD1"/>
    <w:rsid w:val="00CE6815"/>
    <w:rsid w:val="00D16843"/>
    <w:rsid w:val="00D24F1F"/>
    <w:rsid w:val="00D65247"/>
    <w:rsid w:val="00D66A43"/>
    <w:rsid w:val="00D72CD0"/>
    <w:rsid w:val="00D77CD5"/>
    <w:rsid w:val="00D83FA0"/>
    <w:rsid w:val="00D86E00"/>
    <w:rsid w:val="00DA7576"/>
    <w:rsid w:val="00DD645D"/>
    <w:rsid w:val="00E01E43"/>
    <w:rsid w:val="00E040DB"/>
    <w:rsid w:val="00E32D82"/>
    <w:rsid w:val="00EC2446"/>
    <w:rsid w:val="00ED354D"/>
    <w:rsid w:val="00ED3711"/>
    <w:rsid w:val="00EE7DAE"/>
    <w:rsid w:val="00EF0570"/>
    <w:rsid w:val="00EF71BF"/>
    <w:rsid w:val="00F0095A"/>
    <w:rsid w:val="00F1419B"/>
    <w:rsid w:val="00F302F0"/>
    <w:rsid w:val="00F3475D"/>
    <w:rsid w:val="00F475F9"/>
    <w:rsid w:val="00F4760D"/>
    <w:rsid w:val="00F56DD0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6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51</cp:revision>
  <dcterms:created xsi:type="dcterms:W3CDTF">2024-12-31T13:57:00Z</dcterms:created>
  <dcterms:modified xsi:type="dcterms:W3CDTF">2025-01-18T17:17:00Z</dcterms:modified>
</cp:coreProperties>
</file>