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1CF4732F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413C8B" w:rsidRPr="00413C8B">
        <w:t>зв'язків</w:t>
      </w:r>
      <w:r>
        <w:rPr>
          <w:lang w:val="uk-UA"/>
        </w:rPr>
        <w:t xml:space="preserve"> між кулями. </w:t>
      </w:r>
    </w:p>
    <w:p w14:paraId="167FBF5A" w14:textId="77777777" w:rsidR="00E01E43" w:rsidRDefault="00E01E43" w:rsidP="00E01E43">
      <w:pPr>
        <w:rPr>
          <w:lang w:val="uk-UA"/>
        </w:rPr>
      </w:pPr>
      <w:r>
        <w:rPr>
          <w:lang w:val="uk-UA"/>
        </w:rPr>
        <w:t>Лінією будемо називати відрізок прямої, який задається двома кінцевими точками.</w:t>
      </w:r>
    </w:p>
    <w:p w14:paraId="4D6DAFB4" w14:textId="37D97E93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будемо називати їх кулями, бо це більше відповідає  нашій інтуїції. </w:t>
      </w:r>
    </w:p>
    <w:p w14:paraId="0F90629E" w14:textId="28D26807" w:rsidR="00E01E43" w:rsidRDefault="00E01E43" w:rsidP="00D16843">
      <w:pPr>
        <w:rPr>
          <w:lang w:val="uk-UA"/>
        </w:rPr>
      </w:pPr>
      <w:r>
        <w:rPr>
          <w:lang w:val="uk-UA"/>
        </w:rPr>
        <w:t>Зв’язки це жорсткі перетини між парами куль.</w:t>
      </w:r>
    </w:p>
    <w:p w14:paraId="6D092186" w14:textId="024538DE" w:rsidR="00D16843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413C8B">
        <w:rPr>
          <w:lang w:val="uk-UA"/>
        </w:rPr>
        <w:t>деформація куль і зв’язків можливі втрати енергії, кількість втрат регулюється налаштуваннями моделі.</w:t>
      </w:r>
    </w:p>
    <w:p w14:paraId="21C6D616" w14:textId="6CADDC54" w:rsidR="00413C8B" w:rsidRDefault="00413C8B" w:rsidP="00D16843">
      <w:pPr>
        <w:rPr>
          <w:lang w:val="uk-UA"/>
        </w:rPr>
      </w:pPr>
      <w:r>
        <w:rPr>
          <w:lang w:val="uk-UA"/>
        </w:rPr>
        <w:t xml:space="preserve">Кулі не обертаються, тепло, яке </w:t>
      </w:r>
      <w:r w:rsidR="00D66A43">
        <w:rPr>
          <w:lang w:val="uk-UA"/>
        </w:rPr>
        <w:t>виділяється</w:t>
      </w:r>
      <w:r>
        <w:rPr>
          <w:lang w:val="uk-UA"/>
        </w:rPr>
        <w:t xml:space="preserve">  </w:t>
      </w:r>
      <w:r w:rsidR="00D66A43">
        <w:rPr>
          <w:lang w:val="uk-UA"/>
        </w:rPr>
        <w:t xml:space="preserve">внаслідок пружної деформації, </w:t>
      </w:r>
      <w:r>
        <w:rPr>
          <w:lang w:val="uk-UA"/>
        </w:rPr>
        <w:t>також ніяк не враховується.</w:t>
      </w:r>
    </w:p>
    <w:p w14:paraId="733E47BA" w14:textId="73CD6F93" w:rsidR="00413C8B" w:rsidRPr="00D16843" w:rsidRDefault="00413C8B" w:rsidP="00D16843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</w:t>
      </w:r>
      <w:r w:rsidR="00D66A43">
        <w:rPr>
          <w:lang w:val="uk-UA"/>
        </w:rPr>
        <w:t>вважається відсутнім.</w:t>
      </w:r>
    </w:p>
    <w:p w14:paraId="7D3C463C" w14:textId="2F55E890" w:rsidR="00040B20" w:rsidRDefault="00040B20" w:rsidP="00040B20">
      <w:pPr>
        <w:rPr>
          <w:lang w:val="uk-UA"/>
        </w:rPr>
      </w:pPr>
      <w:r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>
        <w:rPr>
          <w:lang w:val="uk-UA"/>
        </w:rPr>
        <w:t xml:space="preserve"> розглядається не як миттєва дія, а  як процес, який займає певний проміжок часу.</w:t>
      </w:r>
      <w:r w:rsidR="00D16843">
        <w:t xml:space="preserve"> </w:t>
      </w:r>
      <w:r w:rsidR="00D16843">
        <w:rPr>
          <w:lang w:val="uk-UA"/>
        </w:rPr>
        <w:t xml:space="preserve">Сила реакції від стикання кулі з перешкодою виникає за рахунок деформації кулі. В моделі деформацію уособлює та частина кулі, яка опиняється </w:t>
      </w:r>
      <w:r w:rsidR="00D66A43">
        <w:rPr>
          <w:lang w:val="uk-UA"/>
        </w:rPr>
        <w:t xml:space="preserve">в межах перешкоди. Чим більша та частина, тим більша сила реакції, що повністю 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>.</w:t>
      </w:r>
    </w:p>
    <w:p w14:paraId="4272BE87" w14:textId="7D8678B0" w:rsidR="00BF1C0F" w:rsidRDefault="00BF1C0F" w:rsidP="00040B20">
      <w:pPr>
        <w:rPr>
          <w:lang w:val="uk-UA"/>
        </w:rPr>
      </w:pPr>
      <w:r>
        <w:rPr>
          <w:lang w:val="uk-UA"/>
        </w:rPr>
        <w:t>Основна думка поляга</w:t>
      </w:r>
      <w:r w:rsidR="00C64192">
        <w:rPr>
          <w:lang w:val="uk-UA"/>
        </w:rPr>
        <w:t>є</w:t>
      </w:r>
      <w:r>
        <w:rPr>
          <w:lang w:val="uk-UA"/>
        </w:rPr>
        <w:t xml:space="preserve"> в тому, що в будь-який момент дискретного часу можна визначити</w:t>
      </w:r>
      <w:r w:rsidR="00C64192">
        <w:rPr>
          <w:lang w:val="uk-UA"/>
        </w:rPr>
        <w:t>,</w:t>
      </w:r>
      <w:r>
        <w:rPr>
          <w:lang w:val="uk-UA"/>
        </w:rPr>
        <w:t xml:space="preserve"> з якими перешкодами зустрілася куля, знайти міру деформації від кожної перешкоди</w:t>
      </w:r>
      <w:r w:rsidR="00C64192">
        <w:rPr>
          <w:lang w:val="uk-UA"/>
        </w:rPr>
        <w:t xml:space="preserve"> і відповідну силу реакції, і скласти всі сили. Отримана рівнодіюча дозволить обчислити поточні прискорення, а також швидкість і положення кулі в наступний момент дискретного часу.</w:t>
      </w:r>
    </w:p>
    <w:p w14:paraId="69456DDD" w14:textId="77777777" w:rsidR="008359F3" w:rsidRPr="00D16843" w:rsidRDefault="008359F3" w:rsidP="00040B20">
      <w:pPr>
        <w:rPr>
          <w:lang w:val="uk-UA"/>
        </w:rPr>
      </w:pP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4A666A88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>рис.1 а) Сила реакції прикладена до точки С, яку будемо називати точкою стикання.</w:t>
      </w:r>
      <w:r w:rsidR="00307692">
        <w:t xml:space="preserve"> </w:t>
      </w:r>
    </w:p>
    <w:p w14:paraId="11821E81" w14:textId="13FACF55" w:rsidR="00FC6CD8" w:rsidRPr="00FC6CD8" w:rsidRDefault="0098160D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7F0ADD9" wp14:editId="174ACCF2">
            <wp:extent cx="3235037" cy="1606047"/>
            <wp:effectExtent l="0" t="0" r="3810" b="0"/>
            <wp:docPr id="2003837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7159" name="Рисунок 20038371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541" cy="16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4FA0755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93666D">
        <w:rPr>
          <w:rFonts w:eastAsiaTheme="minorEastAsia"/>
          <w:lang w:val="uk-UA"/>
        </w:rPr>
        <w:t>стикання,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529E75B3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стикання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77777777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стикання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>, пропорційна величині деформації</w:t>
      </w:r>
      <w:r w:rsidR="00C65751" w:rsidRPr="002D67B2">
        <w:rPr>
          <w:lang w:val="uk-UA"/>
        </w:rPr>
        <w:t xml:space="preserve">. </w:t>
      </w:r>
      <w:r w:rsidR="00060225" w:rsidRPr="002D67B2">
        <w:rPr>
          <w:lang w:val="uk-UA"/>
        </w:rPr>
        <w:t xml:space="preserve"> </w:t>
      </w:r>
    </w:p>
    <w:p w14:paraId="39FAA247" w14:textId="0F93F2D3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 xml:space="preserve">, тому і деформації куль повинні бути однаковими. Це змушує </w:t>
      </w:r>
      <w:r w:rsidR="002D67B2">
        <w:rPr>
          <w:lang w:val="uk-UA"/>
        </w:rPr>
        <w:t>вважати т</w:t>
      </w:r>
      <w:r w:rsidR="002D67B2" w:rsidRPr="002D67B2">
        <w:rPr>
          <w:lang w:val="uk-UA"/>
        </w:rPr>
        <w:t xml:space="preserve">очкою стикання </w:t>
      </w:r>
      <w:r w:rsidR="00A24DA5">
        <w:rPr>
          <w:lang w:val="uk-UA"/>
        </w:rPr>
        <w:t xml:space="preserve">куль </w:t>
      </w:r>
      <w:r w:rsidR="002F6FE2">
        <w:rPr>
          <w:lang w:val="uk-UA"/>
        </w:rPr>
        <w:tab/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2D67B2" w:rsidRPr="002D67B2">
        <w:rPr>
          <w:lang w:val="uk-UA"/>
        </w:rPr>
        <w:t xml:space="preserve"> в середині зони перекриття</w:t>
      </w:r>
      <w:r w:rsidR="002D67B2">
        <w:rPr>
          <w:lang w:val="uk-UA"/>
        </w:rPr>
        <w:t>.</w:t>
      </w:r>
    </w:p>
    <w:p w14:paraId="5ACFE858" w14:textId="2D59E616" w:rsidR="002D67B2" w:rsidRDefault="002D67B2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CDCAD89" wp14:editId="521A2C3D">
            <wp:extent cx="2165053" cy="2193804"/>
            <wp:effectExtent l="0" t="0" r="6985" b="0"/>
            <wp:docPr id="1467047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47949" name="Рисунок 14670479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917" cy="22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05BD" w14:textId="459C210E" w:rsidR="00711C0F" w:rsidRDefault="00711C0F">
      <w:pPr>
        <w:rPr>
          <w:lang w:val="uk-UA"/>
        </w:rPr>
      </w:pPr>
    </w:p>
    <w:p w14:paraId="70657834" w14:textId="77777777" w:rsidR="002D67B2" w:rsidRDefault="002D67B2">
      <w:pPr>
        <w:rPr>
          <w:lang w:val="uk-UA"/>
        </w:rPr>
      </w:pPr>
    </w:p>
    <w:p w14:paraId="4C09C726" w14:textId="521FC4AB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5E4CA8">
        <w:rPr>
          <w:lang w:val="uk-UA"/>
        </w:rPr>
        <w:t>зв’язків</w:t>
      </w:r>
    </w:p>
    <w:p w14:paraId="556E2422" w14:textId="7F44B21D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зі зв’язками</w:t>
      </w:r>
    </w:p>
    <w:p w14:paraId="2909B816" w14:textId="1A6BF697" w:rsidR="00BF1C0F" w:rsidRPr="00BF1C0F" w:rsidRDefault="00BF1C0F" w:rsidP="00BF1C0F">
      <w:pPr>
        <w:pStyle w:val="2"/>
        <w:rPr>
          <w:lang w:val="uk-UA"/>
        </w:rPr>
      </w:pPr>
      <w:r>
        <w:rPr>
          <w:lang w:val="uk-UA"/>
        </w:rPr>
        <w:t>Втрати енергії при стиканні</w:t>
      </w:r>
    </w:p>
    <w:p w14:paraId="4BF6C847" w14:textId="77777777" w:rsidR="00227A33" w:rsidRPr="00227A33" w:rsidRDefault="00227A33" w:rsidP="00227A33">
      <w:pPr>
        <w:rPr>
          <w:lang w:val="uk-UA"/>
        </w:rPr>
      </w:pPr>
    </w:p>
    <w:p w14:paraId="3E6BE3AA" w14:textId="77777777" w:rsidR="00227A33" w:rsidRPr="000B74E7" w:rsidRDefault="00227A33">
      <w:pPr>
        <w:rPr>
          <w:lang w:val="uk-UA"/>
        </w:rPr>
      </w:pPr>
    </w:p>
    <w:sectPr w:rsidR="00227A33" w:rsidRPr="000B74E7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40B20"/>
    <w:rsid w:val="00060225"/>
    <w:rsid w:val="00075879"/>
    <w:rsid w:val="00076B1D"/>
    <w:rsid w:val="000B74E7"/>
    <w:rsid w:val="000C25A8"/>
    <w:rsid w:val="00115C5A"/>
    <w:rsid w:val="001243BF"/>
    <w:rsid w:val="00154A2A"/>
    <w:rsid w:val="001C3514"/>
    <w:rsid w:val="002021A7"/>
    <w:rsid w:val="00227A33"/>
    <w:rsid w:val="002917CF"/>
    <w:rsid w:val="002A4065"/>
    <w:rsid w:val="002D67B2"/>
    <w:rsid w:val="002F6FE2"/>
    <w:rsid w:val="00307692"/>
    <w:rsid w:val="003210EB"/>
    <w:rsid w:val="00371D6B"/>
    <w:rsid w:val="00413C8B"/>
    <w:rsid w:val="00437ED1"/>
    <w:rsid w:val="00445319"/>
    <w:rsid w:val="004604E7"/>
    <w:rsid w:val="004B193C"/>
    <w:rsid w:val="00566C39"/>
    <w:rsid w:val="005835D2"/>
    <w:rsid w:val="00594B39"/>
    <w:rsid w:val="005B448B"/>
    <w:rsid w:val="005B609D"/>
    <w:rsid w:val="005D2E58"/>
    <w:rsid w:val="005E4CA8"/>
    <w:rsid w:val="00711C0F"/>
    <w:rsid w:val="00767973"/>
    <w:rsid w:val="007D6748"/>
    <w:rsid w:val="007D7B69"/>
    <w:rsid w:val="00803EF4"/>
    <w:rsid w:val="008359F3"/>
    <w:rsid w:val="00891937"/>
    <w:rsid w:val="00912296"/>
    <w:rsid w:val="009318C3"/>
    <w:rsid w:val="0093666D"/>
    <w:rsid w:val="00960FBB"/>
    <w:rsid w:val="0098160D"/>
    <w:rsid w:val="0099319A"/>
    <w:rsid w:val="009F2B8C"/>
    <w:rsid w:val="009F5972"/>
    <w:rsid w:val="009F71FC"/>
    <w:rsid w:val="00A06895"/>
    <w:rsid w:val="00A24DA5"/>
    <w:rsid w:val="00AF3744"/>
    <w:rsid w:val="00B04D1E"/>
    <w:rsid w:val="00B30D1F"/>
    <w:rsid w:val="00B7777E"/>
    <w:rsid w:val="00BE12DE"/>
    <w:rsid w:val="00BF1C0F"/>
    <w:rsid w:val="00C60694"/>
    <w:rsid w:val="00C64192"/>
    <w:rsid w:val="00C65751"/>
    <w:rsid w:val="00CA167E"/>
    <w:rsid w:val="00CB5DD1"/>
    <w:rsid w:val="00D16843"/>
    <w:rsid w:val="00D65247"/>
    <w:rsid w:val="00D66A43"/>
    <w:rsid w:val="00D72CD0"/>
    <w:rsid w:val="00D77CD5"/>
    <w:rsid w:val="00DD645D"/>
    <w:rsid w:val="00E01E43"/>
    <w:rsid w:val="00ED354D"/>
    <w:rsid w:val="00ED3711"/>
    <w:rsid w:val="00EE7DAE"/>
    <w:rsid w:val="00F0095A"/>
    <w:rsid w:val="00FB398E"/>
    <w:rsid w:val="00FC6CD8"/>
    <w:rsid w:val="00FD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20</cp:revision>
  <dcterms:created xsi:type="dcterms:W3CDTF">2024-12-31T13:57:00Z</dcterms:created>
  <dcterms:modified xsi:type="dcterms:W3CDTF">2025-01-06T15:53:00Z</dcterms:modified>
</cp:coreProperties>
</file>