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5F"/>
          <w:sz w:val="44"/>
          <w:szCs w:val="44"/>
        </w:rPr>
        <w:t xml:space="preserve">Modélisation et structuration automatique</w:t>
      </w:r>
    </w:p>
    <w:p>
      <w:pPr>
        <w:spacing w:after="400"/>
        <w:jc w:val="center"/>
      </w:pPr>
      <w:r>
        <w:rPr>
          <w:rFonts w:ascii="Arial" w:cs="Arial" w:eastAsia="Arial" w:hAnsi="Arial"/>
          <w:b/>
          <w:bCs/>
          <w:color w:val="1F4E5F"/>
          <w:sz w:val="44"/>
          <w:szCs w:val="44"/>
        </w:rPr>
        <w:t xml:space="preserve">des données issues des réglementations dans le monde</w:t>
      </w:r>
    </w:p>
    <w:p>
      <w:pPr>
        <w:spacing w:after="200"/>
        <w:jc w:val="center"/>
      </w:pPr>
      <w:r>
        <w:rPr>
          <w:rFonts w:ascii="Arial" w:cs="Arial" w:eastAsia="Arial" w:hAnsi="Arial"/>
          <w:i/>
          <w:iCs/>
          <w:color w:val="555555"/>
          <w:sz w:val="26"/>
          <w:szCs w:val="26"/>
        </w:rPr>
        <w:t xml:space="preserve">Rapport de raisonnement — Codex, Union Européenne, Inde, Thaïlande</w:t>
      </w:r>
    </w:p>
    <w:p>
      <w:pPr>
        <w:spacing w:after="100"/>
        <w:jc w:val="center"/>
      </w:pPr>
      <w:r>
        <w:rPr>
          <w:rFonts w:ascii="Arial" w:cs="Arial" w:eastAsia="Arial" w:hAnsi="Arial"/>
          <w:sz w:val="24"/>
          <w:szCs w:val="24"/>
        </w:rPr>
        <w:t xml:space="preserve">Université Paris Dauphine — Projet Agent Réglementaire</w:t>
      </w:r>
    </w:p>
    <w:p>
      <w:pPr>
        <w:spacing w:after="600"/>
        <w:jc w:val="center"/>
      </w:pPr>
      <w:r>
        <w:rPr>
          <w:rFonts w:ascii="Arial" w:cs="Arial" w:eastAsia="Arial" w:hAnsi="Arial"/>
          <w:color w:val="777777"/>
          <w:sz w:val="22"/>
          <w:szCs w:val="22"/>
        </w:rPr>
        <w:t xml:space="preserve">Juillet 2026</w:t>
      </w:r>
    </w:p>
    <w:p>
      <w:pPr>
        <w:pBdr>
          <w:bottom w:val="single" w:color="2E75B6" w:sz="6" w:space="1"/>
        </w:pBdr>
        <w:spacing w:after="400"/>
      </w:pPr>
    </w:p>
    <w:p>
      <w:pPr>
        <w:spacing w:after="160"/>
      </w:pPr>
      <w:r>
        <w:rPr>
          <w:rFonts w:ascii="Arial" w:cs="Arial" w:eastAsia="Arial" w:hAnsi="Arial"/>
          <w:sz w:val="22"/>
          <w:szCs w:val="22"/>
        </w:rPr>
        <w:t xml:space="preserve">Ce document consigne le raisonnement suivi tout au long du projet : les hypothèses testées, les pistes explorées puis abandonnées et pourquoi, les méthodes d'extraction essayées, jusqu'où elles ont été poussées, leur faisabilité technique, leur évaluation quantitative, et les questions qui restent ouvertes pour un déploiement réel. Le code exécutable et les résultats détaillés des tests se trouvent dans le notebook joint, « Notebook_Extraction_Reglementations.ipynb ».</w:t>
      </w:r>
    </w:p>
    <w:p>
      <w:r>
        <w:br w:type="page"/>
      </w:r>
    </w:p>
    <w:p>
      <w:pPr>
        <w:pStyle w:val="Heading1"/>
      </w:pPr>
      <w:r>
        <w:t xml:space="preserve">1. Contexte et objectif</w:t>
      </w:r>
    </w:p>
    <w:p>
      <w:pPr>
        <w:spacing w:after="160"/>
      </w:pPr>
      <w:r>
        <w:rPr>
          <w:rFonts w:ascii="Arial" w:cs="Arial" w:eastAsia="Arial" w:hAnsi="Arial"/>
          <w:sz w:val="22"/>
          <w:szCs w:val="22"/>
        </w:rPr>
        <w:t xml:space="preserve">Aujourd'hui, intégrer les normes d'un nouveau pays (Inde, Thaïlande, et à terme d'autres) suppose de lire des documents juridiques bruts : denses, non standardisés, mêlant paragraphes de loi, exceptions et tableaux hétérogènes. Un outil interne gère déjà l'Union Européenne et le Codex Alimentarius avec une vision structurée et filtrable (géographie, catégorie de produit, état de santé, thématique). L'objectif de ce projet est de définir et tester une méthode pour étendre cette structuration à de nouveaux pays de façon la plus automatique possible, en extrayant une matrice de règles sur les nutriments, additifs et contaminants, en évaluant la performance de cette extraction, et en réfléchissant à la veille de ces réglementations dans la durée.</w:t>
      </w:r>
    </w:p>
    <w:p>
      <w:pPr>
        <w:spacing w:after="160"/>
      </w:pPr>
      <w:r>
        <w:rPr>
          <w:rFonts w:ascii="Arial" w:cs="Arial" w:eastAsia="Arial" w:hAnsi="Arial"/>
          <w:sz w:val="22"/>
          <w:szCs w:val="22"/>
        </w:rPr>
        <w:t xml:space="preserve">Le travail a été mené en deux temps : définir le squelette de données cible (Exercice 1), puis tester et comparer plusieurs méthodes d'extraction automatique (Exercice 2), avant de généraliser la démarche à des pays sans documentation fournie (Chine, États-Unis, Turquie, Brésil).</w:t>
      </w:r>
    </w:p>
    <w:p>
      <w:pPr>
        <w:pStyle w:val="Heading1"/>
      </w:pPr>
      <w:r>
        <w:t xml:space="preserve">2. Méthode générale et raisonnement suivi</w:t>
      </w:r>
    </w:p>
    <w:p>
      <w:pPr>
        <w:spacing w:after="160"/>
      </w:pPr>
      <w:r>
        <w:rPr>
          <w:rFonts w:ascii="Arial" w:cs="Arial" w:eastAsia="Arial" w:hAnsi="Arial"/>
          <w:sz w:val="22"/>
          <w:szCs w:val="22"/>
        </w:rPr>
        <w:t xml:space="preserve">La démarche a délibérément alterné deux sens de lecture plutôt que d'en choisir un seul dès le départ :</w:t>
      </w:r>
    </w:p>
    <w:p>
      <w:pPr>
        <w:pStyle w:val="ListParagraph"/>
        <w:numPr>
          <w:ilvl w:val="0"/>
          <w:numId w:val="2"/>
        </w:numPr>
        <w:spacing w:after="100"/>
      </w:pPr>
      <w:r>
        <w:rPr>
          <w:rFonts w:ascii="Arial" w:cs="Arial" w:eastAsia="Arial" w:hAnsi="Arial"/>
          <w:sz w:val="22"/>
          <w:szCs w:val="22"/>
        </w:rPr>
        <w:t xml:space="preserve">Descendante : partir de la sortie déjà affichée par l'outil existant (Substance, Conditions, Minimum, Maximum, Unit, Scope of application) comme hypothèse de schéma cible.</w:t>
      </w:r>
    </w:p>
    <w:p>
      <w:pPr>
        <w:pStyle w:val="ListParagraph"/>
        <w:numPr>
          <w:ilvl w:val="0"/>
          <w:numId w:val="2"/>
        </w:numPr>
        <w:spacing w:after="100"/>
      </w:pPr>
      <w:r>
        <w:rPr>
          <w:rFonts w:ascii="Arial" w:cs="Arial" w:eastAsia="Arial" w:hAnsi="Arial"/>
          <w:sz w:val="22"/>
          <w:szCs w:val="22"/>
        </w:rPr>
        <w:t xml:space="preserve">Ascendante : demander à un LLM (l'agent Claude) de lire directement des extraits de Codex et de l'Union Européenne et d'identifier des règles réelles qui mettent le schéma descendant en défaut, plutôt que d'annoter ces extraits à la main.</w:t>
      </w:r>
    </w:p>
    <w:p>
      <w:pPr>
        <w:spacing w:after="160"/>
      </w:pPr>
      <w:r>
        <w:rPr>
          <w:rFonts w:ascii="Arial" w:cs="Arial" w:eastAsia="Arial" w:hAnsi="Arial"/>
          <w:sz w:val="22"/>
          <w:szCs w:val="22"/>
        </w:rPr>
        <w:t xml:space="preserve">Point de méthode à expliciter ici aussi, dans la continuité de la section 4.4 : cette lecture ascendante n'a pas été faite par une personne qui annote manuellement des documents, mais en demandant explicitement à l'agent Claude de lire les PDF sources et de signaler tout cas concret qui casserait un schéma plat à 6 colonnes. Les trois cas listés en section 3.1 (renvois de notes Codex, exception UE sur les pesticides, interdiction thaïe) sont ce que l'agent a repéré en réponse à cette consigne, pas le produit d'une relecture manuelle préalable de l'équipe.</w:t>
      </w:r>
    </w:p>
    <w:p>
      <w:pPr>
        <w:spacing w:after="160"/>
      </w:pPr>
      <w:r>
        <w:rPr>
          <w:rFonts w:ascii="Arial" w:cs="Arial" w:eastAsia="Arial" w:hAnsi="Arial"/>
          <w:sz w:val="22"/>
          <w:szCs w:val="22"/>
        </w:rPr>
        <w:t xml:space="preserve">Le croisement des deux lectures a permis de faire évoluer le schéma plat initial vers un modèle plus riche (section 3), et a guidé le choix des méthodes d'extraction testées (section 4) : on a systématiquement cherché à casser chaque méthode sur un format qu'elle n'avait pas été conçue pour traiter, plutôt que de la valider seulement sur le cas favorable.</w:t>
      </w:r>
    </w:p>
    <w:p>
      <w:pPr>
        <w:pStyle w:val="Heading1"/>
      </w:pPr>
      <w:r>
        <w:t xml:space="preserve">3. Exercice 1 — Définir la matrice cible</w:t>
      </w:r>
    </w:p>
    <w:p>
      <w:pPr>
        <w:pStyle w:val="Heading2"/>
      </w:pPr>
      <w:r>
        <w:t xml:space="preserve">3.1 Hypothèse de départ et pourquoi elle a été abandonnée</w:t>
      </w:r>
    </w:p>
    <w:p>
      <w:pPr>
        <w:spacing w:after="160"/>
      </w:pPr>
      <w:r>
        <w:rPr>
          <w:rFonts w:ascii="Arial" w:cs="Arial" w:eastAsia="Arial" w:hAnsi="Arial"/>
          <w:sz w:val="22"/>
          <w:szCs w:val="22"/>
        </w:rPr>
        <w:t xml:space="preserve">Premier réflexe testé : reproduire tel quel le tableau à 6 colonnes déjà affiché par l'outil existant. En demandant à l'agent Claude de lire les textes sources et de tester ce schéma sur des cas réels (et non en les annotant manuellement), ce schéma plat s'est révélé insuffisant sur trois cas concrets rencontrés dans les échantillons :</w:t>
      </w:r>
    </w:p>
    <w:p>
      <w:pPr>
        <w:pStyle w:val="ListParagraph"/>
        <w:numPr>
          <w:ilvl w:val="0"/>
          <w:numId w:val="3"/>
        </w:numPr>
        <w:spacing w:after="100"/>
      </w:pPr>
      <w:r>
        <w:rPr>
          <w:rFonts w:ascii="Arial" w:cs="Arial" w:eastAsia="Arial" w:hAnsi="Arial"/>
          <w:sz w:val="22"/>
          <w:szCs w:val="22"/>
        </w:rPr>
        <w:t xml:space="preserve">Codex (Acesulfame de potassium) : une même substance a des dizaines de lignes, une par catégorie d'aliment, avec des renvois vers des notes de bas de page numérotées qu'il faut résoudre séparément (ex. « 188, 478 &amp; 639 »).</w:t>
      </w:r>
    </w:p>
    <w:p>
      <w:pPr>
        <w:pStyle w:val="ListParagraph"/>
        <w:numPr>
          <w:ilvl w:val="0"/>
          <w:numId w:val="3"/>
        </w:numPr>
        <w:spacing w:after="100"/>
      </w:pPr>
      <w:r>
        <w:rPr>
          <w:rFonts w:ascii="Arial" w:cs="Arial" w:eastAsia="Arial" w:hAnsi="Arial"/>
          <w:sz w:val="22"/>
          <w:szCs w:val="22"/>
        </w:rPr>
        <w:t xml:space="preserve">Union Européenne (règlement 2016/128) : une limite générale de précaution (0,01 mg/kg pour tous les pesticides) souffre d'exceptions qui modifient la portée de la règle générale pour une liste de substances, plutôt que de la remplacer.</w:t>
      </w:r>
    </w:p>
    <w:p>
      <w:pPr>
        <w:pStyle w:val="ListParagraph"/>
        <w:numPr>
          <w:ilvl w:val="0"/>
          <w:numId w:val="3"/>
        </w:numPr>
        <w:spacing w:after="100"/>
      </w:pPr>
      <w:r>
        <w:rPr>
          <w:rFonts w:ascii="Arial" w:cs="Arial" w:eastAsia="Arial" w:hAnsi="Arial"/>
          <w:sz w:val="22"/>
          <w:szCs w:val="22"/>
        </w:rPr>
        <w:t xml:space="preserve">Thaïlande (avis n°268) : certaines règles ne sont pas des seuils numériques mais des interdictions (« doit être non détecté ») — un type de règle fondamentalement différent d'un maximum quantifié.</w:t>
      </w:r>
    </w:p>
    <w:p>
      <w:pPr>
        <w:spacing w:after="160"/>
      </w:pPr>
      <w:r>
        <w:rPr>
          <w:rFonts w:ascii="Arial" w:cs="Arial" w:eastAsia="Arial" w:hAnsi="Arial"/>
          <w:sz w:val="22"/>
          <w:szCs w:val="22"/>
        </w:rPr>
        <w:t xml:space="preserve">Conséquence : le schéma plat a été abandonné au profit d'un modèle en trois niveaux — Règle générale, Conditions d'application, Exceptions — où une exception référence la règle qu'elle nuance plutôt que d'exister comme une ligne indépendante et déconnectée.</w:t>
      </w:r>
    </w:p>
    <w:p>
      <w:pPr>
        <w:pStyle w:val="Heading2"/>
      </w:pPr>
      <w:r>
        <w:t xml:space="preserve">3.2 Schéma retenu</w:t>
      </w:r>
    </w:p>
    <w:p>
      <w:pPr>
        <w:spacing w:after="160"/>
      </w:pPr>
      <w:r>
        <w:rPr>
          <w:rFonts w:ascii="Arial" w:cs="Arial" w:eastAsia="Arial" w:hAnsi="Arial"/>
          <w:sz w:val="22"/>
          <w:szCs w:val="22"/>
        </w:rPr>
        <w:t xml:space="preserve">Champs jugés strictement nécessaires pour représenter une règle sans perte d'information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55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rule_id, country, source_document, source_reference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Identification et traçabilité de la règle et de sa source.</w:t>
            </w:r>
          </w:p>
        </w:tc>
      </w:tr>
      <w:tr>
        <w:tc>
          <w:tcPr>
            <w:tcW w:type="dxa" w:w="38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rFonts w:ascii="Arial" w:cs="Arial" w:eastAsia="Arial" w:hAnsi="Arial"/>
                <w:b w:val="false"/>
                <w:bCs w:val="false"/>
                <w:sz w:val="20"/>
                <w:szCs w:val="20"/>
              </w:rPr>
              <w:t xml:space="preserve">topic</w:t>
            </w:r>
          </w:p>
        </w:tc>
        <w:tc>
          <w:tcPr>
            <w:tcW w:type="dxa" w:w="556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rFonts w:ascii="Arial" w:cs="Arial" w:eastAsia="Arial" w:hAnsi="Arial"/>
                <w:b w:val="false"/>
                <w:bCs w:val="false"/>
                <w:sz w:val="20"/>
                <w:szCs w:val="20"/>
              </w:rPr>
              <w:t xml:space="preserve">Thématique normalisée (additifs, nutriments, contaminants, étiquetage, novel foods…), pour permettre le filtrage croisé déjà présent dans l'outil existant.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substance_name, substance_code, substance_category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Objet de la règle (nom, code INS/E-number/CAS si disponible, catégorie fonctionnelle).</w:t>
            </w:r>
          </w:p>
        </w:tc>
      </w:tr>
      <w:tr>
        <w:tc>
          <w:tcPr>
            <w:tcW w:type="dxa" w:w="38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rFonts w:ascii="Arial" w:cs="Arial" w:eastAsia="Arial" w:hAnsi="Arial"/>
                <w:b w:val="false"/>
                <w:bCs w:val="false"/>
                <w:sz w:val="20"/>
                <w:szCs w:val="20"/>
              </w:rPr>
              <w:t xml:space="preserve">food_category_code / label, conditions[]</w:t>
            </w:r>
          </w:p>
        </w:tc>
        <w:tc>
          <w:tcPr>
            <w:tcW w:type="dxa" w:w="556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rFonts w:ascii="Arial" w:cs="Arial" w:eastAsia="Arial" w:hAnsi="Arial"/>
                <w:b w:val="false"/>
                <w:bCs w:val="false"/>
                <w:sz w:val="20"/>
                <w:szCs w:val="20"/>
              </w:rPr>
              <w:t xml:space="preserve">Portée : catégorie de produit normalisée + dimensions de contexte (âge, état de santé, géographie).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value_type, value_min, value_max, unit, basis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Type de valeur distingué explicitement (minimum, maximum, plage, interdiction, déclaration obligatoire), avec unité et base de calcul (ex. matière sèche, pour 100 kcal).</w:t>
            </w:r>
          </w:p>
        </w:tc>
      </w:tr>
      <w:tr>
        <w:tc>
          <w:tcPr>
            <w:tcW w:type="dxa" w:w="38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rFonts w:ascii="Arial" w:cs="Arial" w:eastAsia="Arial" w:hAnsi="Arial"/>
                <w:b w:val="false"/>
                <w:bCs w:val="false"/>
                <w:sz w:val="20"/>
                <w:szCs w:val="20"/>
              </w:rPr>
              <w:t xml:space="preserve">exceptions[]</w:t>
            </w:r>
          </w:p>
        </w:tc>
        <w:tc>
          <w:tcPr>
            <w:tcW w:type="dxa" w:w="556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rFonts w:ascii="Arial" w:cs="Arial" w:eastAsia="Arial" w:hAnsi="Arial"/>
                <w:b w:val="false"/>
                <w:bCs w:val="false"/>
                <w:sz w:val="20"/>
                <w:szCs w:val="20"/>
              </w:rPr>
              <w:t xml:space="preserve">Dérogations rattachées à la règle générale qu'elles nuancent, chacune avec sa propre condition et valeur.</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is_ambiguous, ambiguity_note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Signalement explicite d'un cas juridiquement ambigu, sans résolution automatique — routage vers relecture humaine.</w:t>
            </w:r>
          </w:p>
        </w:tc>
      </w:tr>
      <w:tr>
        <w:tc>
          <w:tcPr>
            <w:tcW w:type="dxa" w:w="38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rFonts w:ascii="Arial" w:cs="Arial" w:eastAsia="Arial" w:hAnsi="Arial"/>
                <w:b w:val="false"/>
                <w:bCs w:val="false"/>
                <w:sz w:val="20"/>
                <w:szCs w:val="20"/>
              </w:rPr>
              <w:t xml:space="preserve">footnote_refs, effective_date, last_verified_date, legal_status</w:t>
            </w:r>
          </w:p>
        </w:tc>
        <w:tc>
          <w:tcPr>
            <w:tcW w:type="dxa" w:w="556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rFonts w:ascii="Arial" w:cs="Arial" w:eastAsia="Arial" w:hAnsi="Arial"/>
                <w:b w:val="false"/>
                <w:bCs w:val="false"/>
                <w:sz w:val="20"/>
                <w:szCs w:val="20"/>
              </w:rPr>
              <w:t xml:space="preserve">Traçabilité réglementaire et support de la veille dans le temps.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raw_text_span, extraction_method, confidence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Audit : texte source exact conservé, méthode et confiance de l'extraction.</w:t>
            </w:r>
          </w:p>
        </w:tc>
      </w:tr>
    </w:tbl>
    <w:p>
      <w:pPr>
        <w:pStyle w:val="Heading2"/>
      </w:pPr>
      <w:r>
        <w:t xml:space="preserve">3.3 Réponses aux questions-guides</w:t>
      </w:r>
    </w:p>
    <w:p>
      <w:pPr>
        <w:pStyle w:val="ListParagraph"/>
        <w:numPr>
          <w:ilvl w:val="0"/>
          <w:numId w:val="2"/>
        </w:numPr>
        <w:spacing w:after="100"/>
      </w:pPr>
      <w:r>
        <w:rPr>
          <w:rFonts w:ascii="Arial" w:cs="Arial" w:eastAsia="Arial" w:hAnsi="Arial"/>
          <w:sz w:val="22"/>
          <w:szCs w:val="22"/>
        </w:rPr>
        <w:t xml:space="preserve">Champs strictement nécessaires : substance, portée (catégorie + conditions de contexte), type de valeur, valeur(s), unité, référence source — sans l'un de ces éléments la règle n'est pas exploitable opérationnellement.</w:t>
      </w:r>
    </w:p>
    <w:p>
      <w:pPr>
        <w:pStyle w:val="ListParagraph"/>
        <w:numPr>
          <w:ilvl w:val="0"/>
          <w:numId w:val="2"/>
        </w:numPr>
        <w:spacing w:after="100"/>
      </w:pPr>
      <w:r>
        <w:rPr>
          <w:rFonts w:ascii="Arial" w:cs="Arial" w:eastAsia="Arial" w:hAnsi="Arial"/>
          <w:sz w:val="22"/>
          <w:szCs w:val="22"/>
        </w:rPr>
        <w:t xml:space="preserve">Dimensions de contexte à normaliser : géographie, catégorie de produit, tranche d'âge/état de santé, thématique — chacune sur un référentiel contrôlé (liste fermée), pas du texte libre, sinon le filtrage casse dès qu'un pays formule la même catégorie différemment.</w:t>
      </w:r>
    </w:p>
    <w:p>
      <w:pPr>
        <w:pStyle w:val="ListParagraph"/>
        <w:numPr>
          <w:ilvl w:val="0"/>
          <w:numId w:val="2"/>
        </w:numPr>
        <w:spacing w:after="100"/>
      </w:pPr>
      <w:r>
        <w:rPr>
          <w:rFonts w:ascii="Arial" w:cs="Arial" w:eastAsia="Arial" w:hAnsi="Arial"/>
          <w:sz w:val="22"/>
          <w:szCs w:val="22"/>
        </w:rPr>
        <w:t xml:space="preserve">Types de valeur à distinguer : minimum, maximum, plage, interdiction (zéro toléré), déclaration obligatoire (pas de seuil, juste une obligation d'affichage). Les confondre revient à traiter « non détectable » comme un maximum numérique de 0, ce qui n'est pas juridiquement équivalent.</w:t>
      </w:r>
    </w:p>
    <w:p>
      <w:pPr>
        <w:pStyle w:val="ListParagraph"/>
        <w:numPr>
          <w:ilvl w:val="0"/>
          <w:numId w:val="2"/>
        </w:numPr>
        <w:spacing w:after="100"/>
      </w:pPr>
      <w:r>
        <w:rPr>
          <w:rFonts w:ascii="Arial" w:cs="Arial" w:eastAsia="Arial" w:hAnsi="Arial"/>
          <w:sz w:val="22"/>
          <w:szCs w:val="22"/>
        </w:rPr>
        <w:t xml:space="preserve">Cas ambigus / exceptions : modélisés comme des objets rattachés à la règle qu'ils nuancent, plus un indicateur explicite d'ambiguïté qui déclenche une relecture humaine plutôt qu'une résolution automatique silencieuse.</w:t>
      </w:r>
    </w:p>
    <w:p>
      <w:pPr>
        <w:pStyle w:val="Heading2"/>
      </w:pPr>
      <w:r>
        <w:t xml:space="preserve">3.4 Piste alternative envisagée et écartée</w:t>
      </w:r>
    </w:p>
    <w:p>
      <w:pPr>
        <w:spacing w:after="160"/>
      </w:pPr>
      <w:r>
        <w:rPr>
          <w:rFonts w:ascii="Arial" w:cs="Arial" w:eastAsia="Arial" w:hAnsi="Arial"/>
          <w:sz w:val="22"/>
          <w:szCs w:val="22"/>
        </w:rPr>
        <w:t xml:space="preserve">Représenter chaque règle comme une ligne de tableur plate, en gérant les exceptions par des lignes dupliquées portant une colonne « exception de la ligne X ». Écartée : elle rend le filtrage incohérent (une recherche sur une substance remonterait aussi ses exceptions comme des règles indépendantes, avec un risque de double comptage) et complique la maintenance lors d'une mise à jour réglementaire, car il faut retrouver manuellement toutes les lignes liées.</w:t>
      </w:r>
    </w:p>
    <w:p>
      <w:r>
        <w:br w:type="page"/>
      </w:r>
    </w:p>
    <w:p>
      <w:pPr>
        <w:pStyle w:val="Heading1"/>
      </w:pPr>
      <w:r>
        <w:t xml:space="preserve">4. Exercice 2 — Extraire l'information de manière automatique</w:t>
      </w:r>
    </w:p>
    <w:p>
      <w:pPr>
        <w:spacing w:after="160"/>
      </w:pPr>
      <w:r>
        <w:rPr>
          <w:rFonts w:ascii="Arial" w:cs="Arial" w:eastAsia="Arial" w:hAnsi="Arial"/>
          <w:sz w:val="22"/>
          <w:szCs w:val="22"/>
        </w:rPr>
        <w:t xml:space="preserve">Trois familles de méthodes ont été testées sur les mêmes extraits (tableau Codex, prose UE, tableau thaï, interdictions thaïes), pour comparer objectivement leurs forces et faiblesses avant de choisir.</w:t>
      </w:r>
    </w:p>
    <w:p>
      <w:pPr>
        <w:pStyle w:val="Heading2"/>
      </w:pPr>
      <w:r>
        <w:t xml:space="preserve">4.1 Approche A — règles et mots-clés (regex)</w:t>
      </w:r>
    </w:p>
    <w:p>
      <w:pPr>
        <w:spacing w:after="160"/>
      </w:pPr>
      <w:r>
        <w:rPr>
          <w:rFonts w:ascii="Arial" w:cs="Arial" w:eastAsia="Arial" w:hAnsi="Arial"/>
          <w:sz w:val="22"/>
          <w:szCs w:val="22"/>
        </w:rPr>
        <w:t xml:space="preserve">Principe : une expression régulière calibrée sur la structure en colonnes du tableau Codex (code de catégorie, libellé, valeur + unité, notes, année). Testée d'abord sur le format pour lequel elle a été écrite : succès complet, toutes les lignes du tableau Acesulfame de potassium sont extraites correctement.</w:t>
      </w:r>
    </w:p>
    <w:p>
      <w:pPr>
        <w:spacing w:after="160"/>
      </w:pPr>
      <w:r>
        <w:rPr>
          <w:rFonts w:ascii="Arial" w:cs="Arial" w:eastAsia="Arial" w:hAnsi="Arial"/>
          <w:sz w:val="22"/>
          <w:szCs w:val="22"/>
        </w:rPr>
        <w:t xml:space="preserve">Test de rupture : appliquée telle quelle à un extrait en prose de l'UE (considérant sur les résidus de pesticides), puis au texte thaïlandais. Résultat : zéro ligne extraite dans les deux cas. Une regex écrite pour un format ne généralise pas à un autre, et une regex fondée sur des mots-clés anglais ne peut par construction rien trouver dans un texte thaï sans dictionnaire de mots-clés thaïs — ce qui suppose de maintenir un dictionnaire par langue, non soutenable pour une équipe qui ne parle pas toutes les langues concernées.</w:t>
      </w:r>
    </w:p>
    <w:p>
      <w:pPr>
        <w:pStyle w:val="Heading2"/>
      </w:pPr>
      <w:r>
        <w:t xml:space="preserve">4.2 Approche B — analyse structurelle de la mise en page</w:t>
      </w:r>
    </w:p>
    <w:p>
      <w:pPr>
        <w:spacing w:after="160"/>
      </w:pPr>
      <w:r>
        <w:rPr>
          <w:rFonts w:ascii="Arial" w:cs="Arial" w:eastAsia="Arial" w:hAnsi="Arial"/>
          <w:sz w:val="22"/>
          <w:szCs w:val="22"/>
        </w:rPr>
        <w:t xml:space="preserve">Principe : exploiter le fait que l'extraction de texte en mode « layout » préserve la position des colonnes, et détecter les colonnes par des groupes d'espaces, indépendamment de la langue.</w:t>
      </w:r>
    </w:p>
    <w:p>
      <w:pPr>
        <w:spacing w:after="160"/>
      </w:pPr>
      <w:r>
        <w:rPr>
          <w:rFonts w:ascii="Arial" w:cs="Arial" w:eastAsia="Arial" w:hAnsi="Arial"/>
          <w:sz w:val="22"/>
          <w:szCs w:val="22"/>
        </w:rPr>
        <w:t xml:space="preserve">Résultat, mitigé mais instructif : le parseur retrouve correctement la valeur, l'unité et le libellé du tableau thaïlandais des contaminants, sans qu'aucun membre de l'équipe ne lise le thaï — la position suffit. En revanche, deux limites structurelles apparaissent sur l'ensemble des documents testés : (1) les lignes de continuation d'un libellé trop long ne sont pas rattachées à la bonne ligne et sont silencieusement perdues, et (2) le nombre et la largeur des colonnes changent d'un document à l'autre (voire d'un tableau à l'autre dans un même document), ce qui impose un recalibrage pour chaque nouveau format — le même problème de passage à l'échelle que l'approche A, sous une autre forme.</w:t>
      </w:r>
    </w:p>
    <w:p>
      <w:pPr>
        <w:spacing w:after="160"/>
      </w:pPr>
      <w:r>
        <w:rPr>
          <w:rFonts w:ascii="Arial" w:cs="Arial" w:eastAsia="Arial" w:hAnsi="Arial"/>
          <w:sz w:val="22"/>
          <w:szCs w:val="22"/>
        </w:rPr>
        <w:t xml:space="preserve">Piste explorée puis abandonnée à ce stade : un vrai NER (reconnaissance d'entités nommées, ex. spaCy) pour mieux traiter la prose. Écartée pour cette itération car (a) les modèles pré-entraînés disponibles ne connaissent pas le vocabulaire juridique/chimique spécifique et nécessiteraient un ré-entraînement sur des données annotées non disponibles, et (b) l'environnement de test utilisé est un bac à sable isolé sans accès réseau pour télécharger un modèle de langue. Ce n'est pas une impasse de principe, seulement un test qui n'a pas pu être mené ici.</w:t>
      </w:r>
    </w:p>
    <w:p>
      <w:pPr>
        <w:pStyle w:val="Heading2"/>
      </w:pPr>
      <w:r>
        <w:t xml:space="preserve">4.3 Approche C — extraction par un LLM</w:t>
      </w:r>
    </w:p>
    <w:p>
      <w:pPr>
        <w:spacing w:after="160"/>
      </w:pPr>
      <w:r>
        <w:rPr>
          <w:rFonts w:ascii="Arial" w:cs="Arial" w:eastAsia="Arial" w:hAnsi="Arial"/>
          <w:sz w:val="22"/>
          <w:szCs w:val="22"/>
        </w:rPr>
        <w:t xml:space="preserve">Principe : fournir au modèle le schéma cible (section 3.2) et un extrait de texte brut, et lui demander de retourner directement une structure conforme au schéma, en signalant explicitement les cas ambigus plutôt que de les trancher lui-même.</w:t>
      </w:r>
    </w:p>
    <w:p>
      <w:pPr>
        <w:spacing w:after="160"/>
      </w:pPr>
      <w:r>
        <w:rPr>
          <w:rFonts w:ascii="Arial" w:cs="Arial" w:eastAsia="Arial" w:hAnsi="Arial"/>
          <w:sz w:val="22"/>
          <w:szCs w:val="22"/>
        </w:rPr>
        <w:t xml:space="preserve">Résultat sur les quatre formats testés (tableau Codex, prose UE, tableau thaï, interdictions thaïes) : c'est la seule des trois approches qui produit une sortie exploitable dans tous les cas, y compris en thaï — langue qu'aucun membre de l'équipe ne lit. Elle détecte aussi d'elle-même le cas ambigu de l'exemple UE (renvoi vers une annexe non fournie dans l'extrait) et le signale plutôt que d'inventer une valeur.</w:t>
      </w:r>
    </w:p>
    <w:p>
      <w:pPr>
        <w:spacing w:after="160"/>
      </w:pPr>
      <w:r>
        <w:rPr>
          <w:rFonts w:ascii="Arial" w:cs="Arial" w:eastAsia="Arial" w:hAnsi="Arial"/>
          <w:sz w:val="22"/>
          <w:szCs w:val="22"/>
        </w:rPr>
        <w:t xml:space="preserve">Limites documentées, pas de détails accessoires :</w:t>
      </w:r>
    </w:p>
    <w:p>
      <w:pPr>
        <w:pStyle w:val="ListParagraph"/>
        <w:numPr>
          <w:ilvl w:val="0"/>
          <w:numId w:val="2"/>
        </w:numPr>
        <w:spacing w:after="100"/>
      </w:pPr>
      <w:r>
        <w:rPr>
          <w:rFonts w:ascii="Arial" w:cs="Arial" w:eastAsia="Arial" w:hAnsi="Arial"/>
          <w:sz w:val="22"/>
          <w:szCs w:val="22"/>
        </w:rPr>
        <w:t xml:space="preserve">Coût et latence : un appel par extrait contre une exécution quasi instantanée d'une regex ; un document comme le Codex 192-1995 dépasse 33 000 lignes de texte extrait et doit être découpé en plusieurs appels (chunking).</w:t>
      </w:r>
    </w:p>
    <w:p>
      <w:pPr>
        <w:pStyle w:val="ListParagraph"/>
        <w:numPr>
          <w:ilvl w:val="0"/>
          <w:numId w:val="2"/>
        </w:numPr>
        <w:spacing w:after="100"/>
      </w:pPr>
      <w:r>
        <w:rPr>
          <w:rFonts w:ascii="Arial" w:cs="Arial" w:eastAsia="Arial" w:hAnsi="Arial"/>
          <w:sz w:val="22"/>
          <w:szCs w:val="22"/>
        </w:rPr>
        <w:t xml:space="preserve">Traçabilité : contrairement à une regex déterministe, un LLM peut produire une valeur plausible mais fausse (hallucination) — d'où l'obligation de conserver le texte source exact de chaque règle extraite et de prévoir un contrôle humain par échantillonnage, en priorité sur les cas marqués ambigus.</w:t>
      </w:r>
    </w:p>
    <w:p>
      <w:pPr>
        <w:pStyle w:val="ListParagraph"/>
        <w:numPr>
          <w:ilvl w:val="0"/>
          <w:numId w:val="2"/>
        </w:numPr>
        <w:spacing w:after="100"/>
      </w:pPr>
      <w:r>
        <w:rPr>
          <w:rFonts w:ascii="Arial" w:cs="Arial" w:eastAsia="Arial" w:hAnsi="Arial"/>
          <w:sz w:val="22"/>
          <w:szCs w:val="22"/>
        </w:rPr>
        <w:t xml:space="preserve">Reproductibilité : deux appels avec le même prompt ne garantissent pas rigoureusement la même sortie ; une température basse et un schéma de sortie strict (function calling / JSON schema) limitent cette variance sans l'annuler.</w:t>
      </w:r>
    </w:p>
    <w:p>
      <w:pPr>
        <w:pStyle w:val="Heading2"/>
      </w:pPr>
      <w:r>
        <w:t xml:space="preserve">4.4 Comment l'IA a été utilisée concrètement dans ce projet</w:t>
      </w:r>
    </w:p>
    <w:p>
      <w:pPr>
        <w:spacing w:after="160"/>
      </w:pPr>
      <w:r>
        <w:rPr>
          <w:rFonts w:ascii="Arial" w:cs="Arial" w:eastAsia="Arial" w:hAnsi="Arial"/>
          <w:sz w:val="22"/>
          <w:szCs w:val="22"/>
        </w:rPr>
        <w:t xml:space="preserve">Point de méthode à expliciter clairement : dans l'environnement de travail utilisé pour ce projet, aucune clé d'API ni accès réseau sortant vers un service de LLM n'était disponible. Les premiers résultats de l'approche C ont donc été produits en faisant lire les extraits directement par l'agent Claude qui a conduit ce projet — c'est-à-dire par un LLM, mais via une lecture conversationnelle plutôt que via un appel API scripté. Cette nuance a été documentée explicitement plutôt que présentée comme un résultat automatisé, par souci de traçabilité.</w:t>
      </w:r>
    </w:p>
    <w:p>
      <w:pPr>
        <w:spacing w:after="160"/>
      </w:pPr>
      <w:r>
        <w:rPr>
          <w:rFonts w:ascii="Arial" w:cs="Arial" w:eastAsia="Arial" w:hAnsi="Arial"/>
          <w:sz w:val="22"/>
          <w:szCs w:val="22"/>
        </w:rPr>
        <w:t xml:space="preserve">Le notebook et le script `extraire_reglementation.py` livrés font désormais un véritable appel à l'API Anthropic lorsqu'une clé (ANTHROPIC_API_KEY) est disponible dans l'environnement d'exécution — c'est le mode d'utilisation normal une fois le projet entre les mains d'une personne disposant d'un accès API. Le notebook conserve un repli automatique sur les résultats de démonstration si aucune clé n'est présente, afin de rester exécutable de bout en bout dans n'importe quel environnement, en indiquant explicitement dans la colonne extraction_method lequel des deux cas s'est produit (llm_api_reel ou llm_lecture_manuelle).</w:t>
      </w:r>
    </w:p>
    <w:p>
      <w:pPr>
        <w:pStyle w:val="Heading2"/>
      </w:pPr>
      <w:r>
        <w:t xml:space="preserve">4.5 Choix d'architecture : pourquoi pas de RAG ici</w:t>
      </w:r>
    </w:p>
    <w:p>
      <w:pPr>
        <w:spacing w:after="160"/>
      </w:pPr>
      <w:r>
        <w:rPr>
          <w:rFonts w:ascii="Arial" w:cs="Arial" w:eastAsia="Arial" w:hAnsi="Arial"/>
          <w:sz w:val="22"/>
          <w:szCs w:val="22"/>
        </w:rPr>
        <w:t xml:space="preserve">Un point de conception mérite d'être justifié explicitement, car il n'allait pas de soi : ce projet n'utilise pas de RAG (Retrieval-Augmented Generation), alors que c'est l'architecture la plus associée aux LLM appliqués à des corpus documentaires. Le choix a été de découper le document déjà identifié comme source en morceaux séquentiels couvrant l'intégralité du texte (chunking exhaustif), et de faire lire chaque morceau au LLM avec le même prompt d'extraction — sans base vectorielle, sans étape de récupération sémantique.</w:t>
      </w:r>
    </w:p>
    <w:p>
      <w:pPr>
        <w:spacing w:after="160"/>
      </w:pPr>
      <w:r>
        <w:rPr>
          <w:rFonts w:ascii="Arial" w:cs="Arial" w:eastAsia="Arial" w:hAnsi="Arial"/>
          <w:sz w:val="22"/>
          <w:szCs w:val="22"/>
        </w:rPr>
        <w:t xml:space="preserve">La raison est liée à la nature de la tâche. Le RAG répond à un problème différent du nôtre : retrouver, dans un grand corpus qu'il serait coûteux de relire en entier, les quelques passages les plus pertinents pour répondre à une question précise. Or l'objectif de l'exercice 2 est inverse : extraire la totalité des règles d'un document donné, pas répondre à une question ponctuelle. Un mécanisme de récupération optimise pour « le passage le plus pertinent pour cette requête » — ce qui est précisément le risque à éviter ici : une règle qui ne remonterait pas comme suffisamment pertinente serait silencieusement perdue, alors que l'exhaustivité est l'exigence de départ (voir la définition du schéma, section 3). Découper et tout lire garantit une couverture complète par construction ; chercher et ne lire que l'extrait jugé pertinent ne le garantit pas.</w:t>
      </w:r>
    </w:p>
    <w:p>
      <w:pPr>
        <w:spacing w:after="160"/>
      </w:pPr>
      <w:r>
        <w:rPr>
          <w:rFonts w:ascii="Arial" w:cs="Arial" w:eastAsia="Arial" w:hAnsi="Arial"/>
          <w:sz w:val="22"/>
          <w:szCs w:val="22"/>
        </w:rPr>
        <w:t xml:space="preserve">Ce choix n'exclut pas le RAG du projet dans son ensemble — il délimite simplement à quelle étape il devient pertinent, et ce projet en identifie trois :</w:t>
      </w:r>
    </w:p>
    <w:p>
      <w:pPr>
        <w:pStyle w:val="ListParagraph"/>
        <w:numPr>
          <w:ilvl w:val="0"/>
          <w:numId w:val="2"/>
        </w:numPr>
        <w:spacing w:after="100"/>
      </w:pPr>
      <w:r>
        <w:rPr>
          <w:rFonts w:ascii="Arial" w:cs="Arial" w:eastAsia="Arial" w:hAnsi="Arial"/>
          <w:sz w:val="22"/>
          <w:szCs w:val="22"/>
        </w:rPr>
        <w:t xml:space="preserve">La résolution des renvois internes (ex. l'annexe de pesticides mentionnée dans le règlement UE 2016/128 mais absente de l'extrait analysé, section 4.3) : une recherche ciblée dans le reste du document, ou dans un ensemble de documents liés, pour aller chercher le passage précis référencé avant de conclure à une ambiguïté, plutôt que d'arrêter systématiquement l'extraction à ce stade.</w:t>
      </w:r>
    </w:p>
    <w:p>
      <w:pPr>
        <w:pStyle w:val="ListParagraph"/>
        <w:numPr>
          <w:ilvl w:val="0"/>
          <w:numId w:val="2"/>
        </w:numPr>
        <w:spacing w:after="100"/>
      </w:pPr>
      <w:r>
        <w:rPr>
          <w:rFonts w:ascii="Arial" w:cs="Arial" w:eastAsia="Arial" w:hAnsi="Arial"/>
          <w:sz w:val="22"/>
          <w:szCs w:val="22"/>
        </w:rPr>
        <w:t xml:space="preserve">L'interrogation ad hoc de la matrice une fois construite : si une équipe opérationnelle pose une question ouverte (« quelle est la limite de cadmium en Thaïlande, et sur quel fondement ? ») sur un corpus de plusieurs centaines de documents, on retombe sur un problème classique de question-réponse avec citation — c'est exactement le cas d'usage pour lequel le RAG a été conçu, à la différence de l'extraction exhaustive traitée dans ce projet.</w:t>
      </w:r>
    </w:p>
    <w:p>
      <w:pPr>
        <w:pStyle w:val="ListParagraph"/>
        <w:numPr>
          <w:ilvl w:val="0"/>
          <w:numId w:val="2"/>
        </w:numPr>
        <w:spacing w:after="100"/>
      </w:pPr>
      <w:r>
        <w:rPr>
          <w:rFonts w:ascii="Arial" w:cs="Arial" w:eastAsia="Arial" w:hAnsi="Arial"/>
          <w:sz w:val="22"/>
          <w:szCs w:val="22"/>
        </w:rPr>
        <w:t xml:space="preserve">La recherche de source réglementaire pour un nouveau pays (sections 5 et 7) : c'est aussi un problème de récupération d'information, mais externe (recherche web sur des sites d'autorités officielles) plutôt qu'un RAG classique sur un corpus interne indexé à l'avance.</w:t>
      </w:r>
    </w:p>
    <w:p>
      <w:pPr>
        <w:spacing w:after="160"/>
      </w:pPr>
      <w:r>
        <w:rPr>
          <w:rFonts w:ascii="Arial" w:cs="Arial" w:eastAsia="Arial" w:hAnsi="Arial"/>
          <w:sz w:val="22"/>
          <w:szCs w:val="22"/>
        </w:rPr>
        <w:t xml:space="preserve">En résumé : extraction exhaustive par découpage séquentiel pour structurer un document déjà identifié comme source (ce que fait ce projet) ; RAG réservé aux étapes ultérieures qui posent un vrai problème de recherche dans un grand volume — veille, interrogation libre de la base constituée, ou sourcing de nouveaux pays.</w:t>
      </w:r>
    </w:p>
    <w:p>
      <w:r>
        <w:br w:type="page"/>
      </w:r>
    </w:p>
    <w:p>
      <w:pPr>
        <w:pStyle w:val="Heading1"/>
      </w:pPr>
      <w:r>
        <w:t xml:space="preserve">5. Évaluation de performance</w:t>
      </w:r>
    </w:p>
    <w:p>
      <w:pPr>
        <w:pStyle w:val="Heading2"/>
      </w:pPr>
      <w:r>
        <w:t xml:space="preserve">5.1 Méthode</w:t>
      </w:r>
    </w:p>
    <w:p>
      <w:pPr>
        <w:spacing w:after="160"/>
      </w:pPr>
      <w:r>
        <w:rPr>
          <w:rFonts w:ascii="Arial" w:cs="Arial" w:eastAsia="Arial" w:hAnsi="Arial"/>
          <w:sz w:val="22"/>
          <w:szCs w:val="22"/>
        </w:rPr>
        <w:t xml:space="preserve">Constitution d'un jeu de vérité terrain de 16 règles annotées à la main, réparties également sur quatre formats : tableau Codex, prose UE, tableau thaï des contaminants, interdictions thaïes. Pour chaque règle du jeu de référence, on vérifie si chaque approche a produit une ligne avec la bonne substance, le bon type de valeur, et la bonne valeur/unité si applicable. Le rappel (part des règles correctement retrouvées) est la métrique retenue, car les trois approches ne produisent quasiment aucun faux positif sur ces extraits contrôlés — elles ratent des règles, elles n'en inventent pas.</w:t>
      </w:r>
    </w:p>
    <w:p>
      <w:pPr>
        <w:pStyle w:val="Heading2"/>
      </w:pPr>
      <w:r>
        <w:t xml:space="preserve">5.2 Résultats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900"/>
        <w:gridCol w:w="1900"/>
        <w:gridCol w:w="1360"/>
      </w:tblGrid>
      <w:tr>
        <w:trPr>
          <w:tblHeader/>
        </w:trPr>
        <w:tc>
          <w:tcPr>
            <w:tcW w:type="dxa" w:w="16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rFonts w:ascii="Arial" w:cs="Arial" w:eastAsia="Arial" w:hAnsi="Arial"/>
                <w:b/>
                <w:bCs/>
                <w:color w:val="FFFFFF"/>
                <w:sz w:val="20"/>
                <w:szCs w:val="20"/>
              </w:rPr>
              <w:t xml:space="preserve">Approche</w:t>
            </w:r>
          </w:p>
        </w:tc>
        <w:tc>
          <w:tcPr>
            <w:tcW w:type="dxa" w:w="16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rFonts w:ascii="Arial" w:cs="Arial" w:eastAsia="Arial" w:hAnsi="Arial"/>
                <w:b/>
                <w:bCs/>
                <w:color w:val="FFFFFF"/>
                <w:sz w:val="20"/>
                <w:szCs w:val="20"/>
              </w:rPr>
              <w:t xml:space="preserve">Codex (tableau)</w:t>
            </w:r>
          </w:p>
        </w:tc>
        <w:tc>
          <w:tcPr>
            <w:tcW w:type="dxa" w:w="16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rFonts w:ascii="Arial" w:cs="Arial" w:eastAsia="Arial" w:hAnsi="Arial"/>
                <w:b/>
                <w:bCs/>
                <w:color w:val="FFFFFF"/>
                <w:sz w:val="20"/>
                <w:szCs w:val="20"/>
              </w:rPr>
              <w:t xml:space="preserve">UE (prose)</w:t>
            </w:r>
          </w:p>
        </w:tc>
        <w:tc>
          <w:tcPr>
            <w:tcW w:type="dxa" w:w="19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rFonts w:ascii="Arial" w:cs="Arial" w:eastAsia="Arial" w:hAnsi="Arial"/>
                <w:b/>
                <w:bCs/>
                <w:color w:val="FFFFFF"/>
                <w:sz w:val="20"/>
                <w:szCs w:val="20"/>
              </w:rPr>
              <w:t xml:space="preserve">Thaïlande (tableau)</w:t>
            </w:r>
          </w:p>
        </w:tc>
        <w:tc>
          <w:tcPr>
            <w:tcW w:type="dxa" w:w="19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rFonts w:ascii="Arial" w:cs="Arial" w:eastAsia="Arial" w:hAnsi="Arial"/>
                <w:b/>
                <w:bCs/>
                <w:color w:val="FFFFFF"/>
                <w:sz w:val="20"/>
                <w:szCs w:val="20"/>
              </w:rPr>
              <w:t xml:space="preserve">Thaïlande (interdiction)</w:t>
            </w:r>
          </w:p>
        </w:tc>
        <w:tc>
          <w:tcPr>
            <w:tcW w:type="dxa" w:w="13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rFonts w:ascii="Arial" w:cs="Arial" w:eastAsia="Arial" w:hAnsi="Arial"/>
                <w:b/>
                <w:bCs/>
                <w:color w:val="FFFFFF"/>
                <w:sz w:val="20"/>
                <w:szCs w:val="20"/>
              </w:rPr>
              <w:t xml:space="preserve">Rappel global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 — Regex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0/4</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0/4</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0/4</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25 %</w:t>
            </w:r>
          </w:p>
        </w:tc>
      </w:tr>
      <w:tr>
        <w:tc>
          <w:tcPr>
            <w:tcW w:type="dxa" w:w="16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rFonts w:ascii="Arial" w:cs="Arial" w:eastAsia="Arial" w:hAnsi="Arial"/>
                <w:b w:val="false"/>
                <w:bCs w:val="false"/>
                <w:sz w:val="20"/>
                <w:szCs w:val="20"/>
              </w:rPr>
              <w:t xml:space="preserve">B — Mise en page</w:t>
            </w:r>
          </w:p>
        </w:tc>
        <w:tc>
          <w:tcPr>
            <w:tcW w:type="dxa" w:w="16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rFonts w:ascii="Arial" w:cs="Arial" w:eastAsia="Arial" w:hAnsi="Arial"/>
                <w:b w:val="false"/>
                <w:bCs w:val="false"/>
                <w:sz w:val="20"/>
                <w:szCs w:val="20"/>
              </w:rPr>
              <w:t xml:space="preserve">4/4</w:t>
            </w:r>
          </w:p>
        </w:tc>
        <w:tc>
          <w:tcPr>
            <w:tcW w:type="dxa" w:w="16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rFonts w:ascii="Arial" w:cs="Arial" w:eastAsia="Arial" w:hAnsi="Arial"/>
                <w:b w:val="false"/>
                <w:bCs w:val="false"/>
                <w:sz w:val="20"/>
                <w:szCs w:val="20"/>
              </w:rPr>
              <w:t xml:space="preserve">0/4</w:t>
            </w:r>
          </w:p>
        </w:tc>
        <w:tc>
          <w:tcPr>
            <w:tcW w:type="dxa" w:w="19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rFonts w:ascii="Arial" w:cs="Arial" w:eastAsia="Arial" w:hAnsi="Arial"/>
                <w:b w:val="false"/>
                <w:bCs w:val="false"/>
                <w:sz w:val="20"/>
                <w:szCs w:val="20"/>
              </w:rPr>
              <w:t xml:space="preserve">4/4</w:t>
            </w:r>
          </w:p>
        </w:tc>
        <w:tc>
          <w:tcPr>
            <w:tcW w:type="dxa" w:w="19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rFonts w:ascii="Arial" w:cs="Arial" w:eastAsia="Arial" w:hAnsi="Arial"/>
                <w:b w:val="false"/>
                <w:bCs w:val="false"/>
                <w:sz w:val="20"/>
                <w:szCs w:val="20"/>
              </w:rPr>
              <w:t xml:space="preserve">0/4</w:t>
            </w:r>
          </w:p>
        </w:tc>
        <w:tc>
          <w:tcPr>
            <w:tcW w:type="dxa" w:w="136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rFonts w:ascii="Arial" w:cs="Arial" w:eastAsia="Arial" w:hAnsi="Arial"/>
                <w:b w:val="false"/>
                <w:bCs w:val="false"/>
                <w:sz w:val="20"/>
                <w:szCs w:val="20"/>
              </w:rPr>
              <w:t xml:space="preserve">50 %</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 — LLM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4/4</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4/4</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87,5 %</w:t>
            </w:r>
          </w:p>
        </w:tc>
      </w:tr>
    </w:tbl>
    <w:p>
      <w:pPr>
        <w:spacing w:after="160"/>
      </w:pPr>
      <w:r>
        <w:rPr>
          <w:rFonts w:ascii="Arial" w:cs="Arial" w:eastAsia="Arial" w:hAnsi="Arial"/>
          <w:sz w:val="22"/>
          <w:szCs w:val="22"/>
        </w:rPr>
        <w:t xml:space="preserve"/>
      </w:r>
    </w:p>
    <w:p>
      <w:pPr>
        <w:jc w:val="center"/>
      </w:pPr>
      <w:r>
        <w:drawing>
          <wp:inline distT="0" distB="0" distL="0" distR="0">
            <wp:extent cx="4286250" cy="2857500"/>
            <wp:effectExtent t="0" r="0" b="0" l="0"/>
            <wp:docPr id="1" name="comparaison" descr="Rappel global des 3 approches d'extraction" title="Comparaison des appro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857500"/>
                    </a:xfrm>
                    <a:prstGeom prst="rect">
                      <a:avLst/>
                    </a:prstGeom>
                  </pic:spPr>
                </pic:pic>
              </a:graphicData>
            </a:graphic>
          </wp:inline>
        </w:drawing>
      </w:r>
    </w:p>
    <w:p>
      <w:pPr>
        <w:pStyle w:val="Heading2"/>
      </w:pPr>
      <w:r>
        <w:t xml:space="preserve">5.3 Lecture des résultats</w:t>
      </w:r>
    </w:p>
    <w:p>
      <w:pPr>
        <w:spacing w:after="160"/>
      </w:pPr>
      <w:r>
        <w:rPr>
          <w:rFonts w:ascii="Arial" w:cs="Arial" w:eastAsia="Arial" w:hAnsi="Arial"/>
          <w:sz w:val="22"/>
          <w:szCs w:val="22"/>
        </w:rPr>
        <w:t xml:space="preserve">L'approche A est parfaite sur le format pour lequel elle a été écrite et nulle partout ailleurs. L'approche B gagne l'indépendance à la langue sur les tableaux mais reste aveugle à la prose. L'approche C est la seule à produire un résultat sur les quatre formats ; la perte restante (2/4 sur la prose UE) tient au découpage de l'extrait donné au modèle — l'exception mentionnée renvoie à une annexe non incluse — et non à une limite de compréhension du modèle.</w:t>
      </w:r>
    </w:p>
    <w:p>
      <w:pPr>
        <w:spacing w:after="160"/>
      </w:pPr>
      <w:r>
        <w:rPr>
          <w:rFonts w:ascii="Arial" w:cs="Arial" w:eastAsia="Arial" w:hAnsi="Arial"/>
          <w:sz w:val="22"/>
          <w:szCs w:val="22"/>
        </w:rPr>
        <w:t xml:space="preserve">Conclusion opérationnelle : aucune des trois approches n'est « meilleure » dans l'absolu. La regex reste imbattable en coût et en vérifiabilité quand le format est stable et connu à l'avance (cas des tableaux déjà intégrés pour l'UE et le Codex). Pour industrialiser l'ajout de nouveaux pays — donc des formats et des langues inconnus à l'avance — seule l'approche LLM généralise sans travail d'ingénierie répété par pays. La recommandation qui en découle est hybride : LLM pour le premier passage sur tout nouveau pays, puis dérivation de règles plus rapides et moins coûteuses pour les mises à jour ultérieures, une fois le format de ce pays stabilisé et documenté.</w:t>
      </w:r>
    </w:p>
    <w:p>
      <w:r>
        <w:br w:type="page"/>
      </w:r>
    </w:p>
    <w:p>
      <w:pPr>
        <w:pStyle w:val="Heading1"/>
      </w:pPr>
      <w:r>
        <w:t xml:space="preserve">6. Application à l'Inde et à la Thaïlande</w:t>
      </w:r>
    </w:p>
    <w:p>
      <w:pPr>
        <w:pStyle w:val="Heading2"/>
      </w:pPr>
      <w:r>
        <w:t xml:space="preserve">6.1 Inde — cas le plus favorable</w:t>
      </w:r>
    </w:p>
    <w:p>
      <w:pPr>
        <w:spacing w:after="160"/>
      </w:pPr>
      <w:r>
        <w:rPr>
          <w:rFonts w:ascii="Arial" w:cs="Arial" w:eastAsia="Arial" w:hAnsi="Arial"/>
          <w:sz w:val="22"/>
          <w:szCs w:val="22"/>
        </w:rPr>
        <w:t xml:space="preserve">Les documents indiens sont en anglais, avec une structure d'articles numérotés proche de celle de l'UE. L'approche C s'applique directement, sans adaptation du prompt. Aucun blocage technique identifié sur ce corpus.</w:t>
      </w:r>
    </w:p>
    <w:p>
      <w:pPr>
        <w:pStyle w:val="Heading2"/>
      </w:pPr>
      <w:r>
        <w:t xml:space="preserve">6.2 Thaïlande — la vraie difficulté du projet</w:t>
      </w:r>
    </w:p>
    <w:p>
      <w:pPr>
        <w:spacing w:after="160"/>
      </w:pPr>
      <w:r>
        <w:rPr>
          <w:rFonts w:ascii="Arial" w:cs="Arial" w:eastAsia="Arial" w:hAnsi="Arial"/>
          <w:sz w:val="22"/>
          <w:szCs w:val="22"/>
        </w:rPr>
        <w:t xml:space="preserve">Trois cas de figure coexistent dans le seul dossier thaïlandais testé, ce qui en fait le meilleur test de robustesse du projet :</w:t>
      </w:r>
    </w:p>
    <w:p>
      <w:pPr>
        <w:pStyle w:val="ListParagraph"/>
        <w:numPr>
          <w:ilvl w:val="0"/>
          <w:numId w:val="3"/>
        </w:numPr>
        <w:spacing w:after="100"/>
      </w:pPr>
      <w:r>
        <w:rPr>
          <w:rFonts w:ascii="Arial" w:cs="Arial" w:eastAsia="Arial" w:hAnsi="Arial"/>
          <w:sz w:val="22"/>
          <w:szCs w:val="22"/>
        </w:rPr>
        <w:t xml:space="preserve">Texte natif en prose (avis 268/2546, liste d'interdictions) : traité avec succès par l'approche C.</w:t>
      </w:r>
    </w:p>
    <w:p>
      <w:pPr>
        <w:pStyle w:val="ListParagraph"/>
        <w:numPr>
          <w:ilvl w:val="0"/>
          <w:numId w:val="3"/>
        </w:numPr>
        <w:spacing w:after="100"/>
      </w:pPr>
      <w:r>
        <w:rPr>
          <w:rFonts w:ascii="Arial" w:cs="Arial" w:eastAsia="Arial" w:hAnsi="Arial"/>
          <w:sz w:val="22"/>
          <w:szCs w:val="22"/>
        </w:rPr>
        <w:t xml:space="preserve">Texte natif tabulaire (avis 414/2563, limites de contaminants) : traité avec succès par l'approche C, et partiellement par l'approche B.</w:t>
      </w:r>
    </w:p>
    <w:p>
      <w:pPr>
        <w:pStyle w:val="ListParagraph"/>
        <w:numPr>
          <w:ilvl w:val="0"/>
          <w:numId w:val="3"/>
        </w:numPr>
        <w:spacing w:after="100"/>
      </w:pPr>
      <w:r>
        <w:rPr>
          <w:rFonts w:ascii="Arial" w:cs="Arial" w:eastAsia="Arial" w:hAnsi="Arial"/>
          <w:sz w:val="22"/>
          <w:szCs w:val="22"/>
        </w:rPr>
        <w:t xml:space="preserve">PDF scanné, sans couche texte (avis 281/2547) : aucune des trois approches ne s'applique, le préalable est l'OCR (reconnaissance optique de caractères), pas l'extraction d'information.</w:t>
      </w:r>
    </w:p>
    <w:p>
      <w:pPr>
        <w:spacing w:after="160"/>
      </w:pPr>
      <w:r>
        <w:rPr>
          <w:rFonts w:ascii="Arial" w:cs="Arial" w:eastAsia="Arial" w:hAnsi="Arial"/>
          <w:sz w:val="22"/>
          <w:szCs w:val="22"/>
        </w:rPr>
        <w:t xml:space="preserve">Sur les cas 1 et 2, un point est documenté honnêtement plutôt que passé sous silence : ne lisant pas le thaï, l'équipe ne peut pas vérifier elle-même la qualité de l'extraction produite par le modèle. La validation ne peut donc pas reposer sur une relecture humaine interne : il faut soit un relecteur natif thaï (recrutement ou prestataire), soit une procédure de contrôle croisé (double extraction par un second modèle, ou retraduction de la sortie pour vérifier sa cohérence avec le texte source).</w:t>
      </w:r>
    </w:p>
    <w:p>
      <w:pPr>
        <w:spacing w:after="160"/>
      </w:pPr>
      <w:r>
        <w:rPr>
          <w:rFonts w:ascii="Arial" w:cs="Arial" w:eastAsia="Arial" w:hAnsi="Arial"/>
          <w:sz w:val="22"/>
          <w:szCs w:val="22"/>
        </w:rPr>
        <w:t xml:space="preserve">Sur le cas 3, l'OCR a été testé concrètement : conversion de la page en image (réussie), puis tentative de reconnaissance avec Tesseract. Seules les langues anglaise et de détection d'orientation sont installées dans l'environnement de test ; le paquet de langue thaï n'est pas disponible. Deux tentatives de correction ont été faites et ont toutes deux échoué : téléchargement direct du modèle de langue depuis le dépôt officiel (bloqué, pas d'accès réseau sortant dans le bac à sable), et installation du paquet système correspondant (bloquée, pas de droits administrateur). Ces deux blocages sont documentés comme des contraintes de l'environnement de test précis, pas comme une impossibilité de méthode : avec un accès réseau et des droits d'installation, ou plus simplement avec un service d'OCR cloud (Google Cloud Vision, Azure Document Intelligence) ou un LLM multimodal capable de lire l'image directement sans étape OCR intermédiaire, l'obstacle disparaît. C'est un prérequis d'infrastructure à lever avant la mise à l'échelle, à traiter en priorité dans la suite du projet.</w:t>
      </w:r>
    </w:p>
    <w:p>
      <w:r>
        <w:br w:type="page"/>
      </w:r>
    </w:p>
    <w:p>
      <w:pPr>
        <w:pStyle w:val="Heading1"/>
      </w:pPr>
      <w:r>
        <w:t xml:space="preserve">7. Généraliser à un nouveau pays : un prompt paramétré, testé sur 4 pays</w:t>
      </w:r>
    </w:p>
    <w:p>
      <w:pPr>
        <w:pStyle w:val="Heading2"/>
      </w:pPr>
      <w:r>
        <w:t xml:space="preserve">7.1 Peut-on industrialiser l'ajout de n'importe quel pays ?</w:t>
      </w:r>
    </w:p>
    <w:p>
      <w:pPr>
        <w:spacing w:after="160"/>
      </w:pPr>
      <w:r>
        <w:rPr>
          <w:rFonts w:ascii="Arial" w:cs="Arial" w:eastAsia="Arial" w:hAnsi="Arial"/>
          <w:sz w:val="22"/>
          <w:szCs w:val="22"/>
        </w:rPr>
        <w:t xml:space="preserve">Oui pour l'extraction, une fois le texte source obtenu (l'approche LLM généralise, sections 4 et 6). Non pour l'obtention fiable du texte source lui-même, qui reste le vrai goulot d'étranglement : identifier, pour un pays donné, quels textes réglementaires officiels sont en vigueur et s'assurer qu'on dispose de la version consolidée à jour est un travail de recherche documentaire et juridique, pas seulement un problème de lisibilité de texte.</w:t>
      </w:r>
    </w:p>
    <w:p>
      <w:pPr>
        <w:spacing w:after="160"/>
      </w:pPr>
      <w:r>
        <w:rPr>
          <w:rFonts w:ascii="Arial" w:cs="Arial" w:eastAsia="Arial" w:hAnsi="Arial"/>
          <w:sz w:val="22"/>
          <w:szCs w:val="22"/>
        </w:rPr>
        <w:t xml:space="preserve">Le pipeline a donc été pensé en deux étapes distinctes, le pays étant un paramètre des deux : (1) recherche de source — identifier le ou les textes officiels applicables à un pays et un sujet donnés ; (2) extraction — appliquer le prompt de la section 4.3 au texte trouvé, avec le pays en argument.</w:t>
      </w:r>
    </w:p>
    <w:p>
      <w:pPr>
        <w:pStyle w:val="Heading2"/>
      </w:pPr>
      <w:r>
        <w:t xml:space="preserve">7.2 Test sur quatre pays sans document fourni</w:t>
      </w:r>
    </w:p>
    <w:p>
      <w:pPr>
        <w:spacing w:after="160"/>
      </w:pPr>
      <w:r>
        <w:rPr>
          <w:rFonts w:ascii="Arial" w:cs="Arial" w:eastAsia="Arial" w:hAnsi="Arial"/>
          <w:sz w:val="22"/>
          <w:szCs w:val="22"/>
        </w:rPr>
        <w:t xml:space="preserve">Faute de documents déjà réunis pour la Chine, les États-Unis, la Turquie et le Brésil, l'étape de recherche de source a été exécutée via une recherche web ciblée, pour vérifier que le prompt mène à des sources identifiables et à un exemple de règle concrète et vérifiable.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3400"/>
        <w:gridCol w:w="1660"/>
      </w:tblGrid>
      <w:tr>
        <w:trPr>
          <w:tblHeader/>
        </w:trPr>
        <w:tc>
          <w:tcPr>
            <w:tcW w:type="dxa" w:w="1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rFonts w:ascii="Arial" w:cs="Arial" w:eastAsia="Arial" w:hAnsi="Arial"/>
                <w:b/>
                <w:bCs/>
                <w:color w:val="FFFFFF"/>
                <w:sz w:val="20"/>
                <w:szCs w:val="20"/>
              </w:rPr>
              <w:t xml:space="preserve">Pays</w:t>
            </w:r>
          </w:p>
        </w:tc>
        <w:tc>
          <w:tcPr>
            <w:tcW w:type="dxa" w:w="29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rFonts w:ascii="Arial" w:cs="Arial" w:eastAsia="Arial" w:hAnsi="Arial"/>
                <w:b/>
                <w:bCs/>
                <w:color w:val="FFFFFF"/>
                <w:sz w:val="20"/>
                <w:szCs w:val="20"/>
              </w:rPr>
              <w:t xml:space="preserve">Texte de référence identifié</w:t>
            </w:r>
          </w:p>
        </w:tc>
        <w:tc>
          <w:tcPr>
            <w:tcW w:type="dxa" w:w="3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rFonts w:ascii="Arial" w:cs="Arial" w:eastAsia="Arial" w:hAnsi="Arial"/>
                <w:b/>
                <w:bCs/>
                <w:color w:val="FFFFFF"/>
                <w:sz w:val="20"/>
                <w:szCs w:val="20"/>
              </w:rPr>
              <w:t xml:space="preserve">Exemple de règle</w:t>
            </w:r>
          </w:p>
        </w:tc>
        <w:tc>
          <w:tcPr>
            <w:tcW w:type="dxa" w:w="16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rFonts w:ascii="Arial" w:cs="Arial" w:eastAsia="Arial" w:hAnsi="Arial"/>
                <w:b/>
                <w:bCs/>
                <w:color w:val="FFFFFF"/>
                <w:sz w:val="20"/>
                <w:szCs w:val="20"/>
              </w:rPr>
              <w:t xml:space="preserve">Confiance dans la source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Chine</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GB 2760-2024 (norme nationale sur les additifs alimentaires)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Acide fumarique dans le pain/gâteaux : max 3,0 g/kg</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Moyenne — synthèse tierce, pas le texte officiel chinois</w:t>
            </w:r>
          </w:p>
        </w:tc>
      </w:tr>
      <w:tr>
        <w:tc>
          <w:tcPr>
            <w:tcW w:type="dxa" w:w="14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rFonts w:ascii="Arial" w:cs="Arial" w:eastAsia="Arial" w:hAnsi="Arial"/>
                <w:b w:val="false"/>
                <w:bCs w:val="false"/>
                <w:sz w:val="20"/>
                <w:szCs w:val="20"/>
              </w:rPr>
              <w:t xml:space="preserve">États-Unis</w:t>
            </w:r>
          </w:p>
        </w:tc>
        <w:tc>
          <w:tcPr>
            <w:tcW w:type="dxa" w:w="29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rFonts w:ascii="Arial" w:cs="Arial" w:eastAsia="Arial" w:hAnsi="Arial"/>
                <w:b w:val="false"/>
                <w:bCs w:val="false"/>
                <w:sz w:val="20"/>
                <w:szCs w:val="20"/>
              </w:rPr>
              <w:t xml:space="preserve">21 CFR §107.100 (préparations pour nourrissons)</w:t>
            </w:r>
          </w:p>
        </w:tc>
        <w:tc>
          <w:tcPr>
            <w:tcW w:type="dxa" w:w="34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rFonts w:ascii="Arial" w:cs="Arial" w:eastAsia="Arial" w:hAnsi="Arial"/>
                <w:b w:val="false"/>
                <w:bCs w:val="false"/>
                <w:sz w:val="20"/>
                <w:szCs w:val="20"/>
              </w:rPr>
              <w:t xml:space="preserve">Vitamine D : min 40 UI, max 100 UI / 100 kcal</w:t>
            </w:r>
          </w:p>
        </w:tc>
        <w:tc>
          <w:tcPr>
            <w:tcW w:type="dxa" w:w="166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rFonts w:ascii="Arial" w:cs="Arial" w:eastAsia="Arial" w:hAnsi="Arial"/>
                <w:b w:val="false"/>
                <w:bCs w:val="false"/>
                <w:sz w:val="20"/>
                <w:szCs w:val="20"/>
              </w:rPr>
              <w:t xml:space="preserve">Haute — texte réglementaire fédéral consolidé (eCFR)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Turquie</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Türk Gıda Kodeksi Katkı Maddeleri Yönetmeliği</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Structure alignée sur l'UE 1333/2008 ; valeurs chiffrées non extraites des sources tertiaires consultées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Faible pour les valeurs chiffrées — texte officiel turc requis</w:t>
            </w:r>
          </w:p>
        </w:tc>
      </w:tr>
      <w:tr>
        <w:tc>
          <w:tcPr>
            <w:tcW w:type="dxa" w:w="14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rFonts w:ascii="Arial" w:cs="Arial" w:eastAsia="Arial" w:hAnsi="Arial"/>
                <w:b w:val="false"/>
                <w:bCs w:val="false"/>
                <w:sz w:val="20"/>
                <w:szCs w:val="20"/>
              </w:rPr>
              <w:t xml:space="preserve">Brésil</w:t>
            </w:r>
          </w:p>
        </w:tc>
        <w:tc>
          <w:tcPr>
            <w:tcW w:type="dxa" w:w="29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rFonts w:ascii="Arial" w:cs="Arial" w:eastAsia="Arial" w:hAnsi="Arial"/>
                <w:b w:val="false"/>
                <w:bCs w:val="false"/>
                <w:sz w:val="20"/>
                <w:szCs w:val="20"/>
              </w:rPr>
              <w:t xml:space="preserve">ANVISA IN 211/2023 (amendée par IN 356/2025 et IN 452/2026)</w:t>
            </w:r>
          </w:p>
        </w:tc>
        <w:tc>
          <w:tcPr>
            <w:tcW w:type="dxa" w:w="34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rFonts w:ascii="Arial" w:cs="Arial" w:eastAsia="Arial" w:hAnsi="Arial"/>
                <w:b w:val="false"/>
                <w:bCs w:val="false"/>
                <w:sz w:val="20"/>
                <w:szCs w:val="20"/>
              </w:rPr>
              <w:t xml:space="preserve">Oxyde d'éthylène (résidu) : max 0,01 mg/kg</w:t>
            </w:r>
          </w:p>
        </w:tc>
        <w:tc>
          <w:tcPr>
            <w:tcW w:type="dxa" w:w="166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rFonts w:ascii="Arial" w:cs="Arial" w:eastAsia="Arial" w:hAnsi="Arial"/>
                <w:b w:val="false"/>
                <w:bCs w:val="false"/>
                <w:sz w:val="20"/>
                <w:szCs w:val="20"/>
              </w:rPr>
              <w:t xml:space="preserve">Moyenne — synthèse tierce, à confirmer sur le texte ANVISA</w:t>
            </w:r>
          </w:p>
        </w:tc>
      </w:tr>
    </w:tbl>
    <w:p>
      <w:pPr>
        <w:pStyle w:val="Heading2"/>
      </w:pPr>
      <w:r>
        <w:t xml:space="preserve">7.3 Ce que ce test montre — et ce qu'il ne montre pas</w:t>
      </w:r>
    </w:p>
    <w:p>
      <w:pPr>
        <w:spacing w:after="160"/>
      </w:pPr>
      <w:r>
        <w:rPr>
          <w:rFonts w:ascii="Arial" w:cs="Arial" w:eastAsia="Arial" w:hAnsi="Arial"/>
          <w:sz w:val="22"/>
          <w:szCs w:val="22"/>
        </w:rPr>
        <w:t xml:space="preserve">Il montre qu'une recherche ciblée permet, en quelques minutes, d'identifier le texte réglementaire de référence et son autorité pour chacun des quatre pays, et d'en tirer un exemple de règle concrète et interprétable selon le schéma de la section 3.</w:t>
      </w:r>
    </w:p>
    <w:p>
      <w:pPr>
        <w:spacing w:after="160"/>
      </w:pPr>
      <w:r>
        <w:rPr>
          <w:rFonts w:ascii="Arial" w:cs="Arial" w:eastAsia="Arial" w:hAnsi="Arial"/>
          <w:sz w:val="22"/>
          <w:szCs w:val="22"/>
        </w:rPr>
        <w:t xml:space="preserve">Il ne montre pas la robustesse du pipeline sur un corpus complet : pour trois des quatre pays, l'exemple chiffré provient d'une synthèse tierce (cabinet de conseil, presse spécialisée) et non du texte officiel brut, contrairement à Codex/UE/Inde/Thaïlande où l'on est parti des PDF sources. Le cas turc illustre concrètement cette limite : le prompt identifie correctement le bon texte de référence mais échoue à en tirer une valeur chiffrée vérifiable sans accès au texte complet en turc. Récupérer et fiabiliser le texte officiel complet de chaque pays est une étape à part entière, à industrialiser séparément (scraping des sites d'autorités officielles, ou abonnement à un fournisseur de veille réglementaire déjà spécialisé).</w:t>
      </w:r>
    </w:p>
    <w:p>
      <w:r>
        <w:br w:type="page"/>
      </w:r>
    </w:p>
    <w:p>
      <w:pPr>
        <w:pStyle w:val="Heading1"/>
      </w:pPr>
      <w:r>
        <w:t xml:space="preserve">8. Faisabilité technique et voie d'industrialisation recommandée</w:t>
      </w:r>
    </w:p>
    <w:p>
      <w:pPr>
        <w:spacing w:after="160"/>
      </w:pPr>
      <w:r>
        <w:rPr>
          <w:rFonts w:ascii="Arial" w:cs="Arial" w:eastAsia="Arial" w:hAnsi="Arial"/>
          <w:sz w:val="22"/>
          <w:szCs w:val="22"/>
        </w:rPr>
        <w:t xml:space="preserve">En résumé des sections précédentes : industrialiser l'extraction à partir d'un texte déjà obtenu est réaliste techniquement — l'approche LLM (section 4.3) généralise entre langues et entre formats sans travail d'ingénierie répété. Le vrai chantier est la collecte fiable des sources par pays, plus proche de la veille documentaire et juridique que du traitement automatique de texte.</w:t>
      </w:r>
    </w:p>
    <w:p>
      <w:pPr>
        <w:spacing w:after="160"/>
      </w:pPr>
      <w:r>
        <w:rPr>
          <w:rFonts w:ascii="Arial" w:cs="Arial" w:eastAsia="Arial" w:hAnsi="Arial"/>
          <w:sz w:val="22"/>
          <w:szCs w:val="22"/>
        </w:rPr>
        <w:t xml:space="preserve">Approche hybride recommandée pour un déploiement réel :</w:t>
      </w:r>
    </w:p>
    <w:p>
      <w:pPr>
        <w:pStyle w:val="ListParagraph"/>
        <w:numPr>
          <w:ilvl w:val="0"/>
          <w:numId w:val="3"/>
        </w:numPr>
        <w:spacing w:after="100"/>
      </w:pPr>
      <w:r>
        <w:rPr>
          <w:rFonts w:ascii="Arial" w:cs="Arial" w:eastAsia="Arial" w:hAnsi="Arial"/>
          <w:sz w:val="22"/>
          <w:szCs w:val="22"/>
        </w:rPr>
        <w:t xml:space="preserve">Recherche et validation de la source officielle pour chaque nouveau pays (étape documentaire/juridique, avec vérification humaine de l'authenticité et de la fraîcheur du texte).</w:t>
      </w:r>
    </w:p>
    <w:p>
      <w:pPr>
        <w:pStyle w:val="ListParagraph"/>
        <w:numPr>
          <w:ilvl w:val="0"/>
          <w:numId w:val="3"/>
        </w:numPr>
        <w:spacing w:after="100"/>
      </w:pPr>
      <w:r>
        <w:rPr>
          <w:rFonts w:ascii="Arial" w:cs="Arial" w:eastAsia="Arial" w:hAnsi="Arial"/>
          <w:sz w:val="22"/>
          <w:szCs w:val="22"/>
        </w:rPr>
        <w:t xml:space="preserve">Premier passage d'extraction par LLM sur l'ensemble du texte, avec découpage (chunking) contrôlé pour les documents longs, et conservation systématique du texte source de chaque règle extraite (raw_text_span).</w:t>
      </w:r>
    </w:p>
    <w:p>
      <w:pPr>
        <w:pStyle w:val="ListParagraph"/>
        <w:numPr>
          <w:ilvl w:val="0"/>
          <w:numId w:val="3"/>
        </w:numPr>
        <w:spacing w:after="100"/>
      </w:pPr>
      <w:r>
        <w:rPr>
          <w:rFonts w:ascii="Arial" w:cs="Arial" w:eastAsia="Arial" w:hAnsi="Arial"/>
          <w:sz w:val="22"/>
          <w:szCs w:val="22"/>
        </w:rPr>
        <w:t xml:space="preserve">Contrôle humain systématique des règles marquées ambiguës, et contrôle par échantillonnage du reste — renforcé par un relecteur natif pour les langues que l'équipe ne lit pas.</w:t>
      </w:r>
    </w:p>
    <w:p>
      <w:pPr>
        <w:pStyle w:val="ListParagraph"/>
        <w:numPr>
          <w:ilvl w:val="0"/>
          <w:numId w:val="3"/>
        </w:numPr>
        <w:spacing w:after="100"/>
      </w:pPr>
      <w:r>
        <w:rPr>
          <w:rFonts w:ascii="Arial" w:cs="Arial" w:eastAsia="Arial" w:hAnsi="Arial"/>
          <w:sz w:val="22"/>
          <w:szCs w:val="22"/>
        </w:rPr>
        <w:t xml:space="preserve">Une fois le format d'un pays stabilisé et documenté, dérivation de règles regex/parseur de mise en page pour les mises à jour ultérieures de ce même pays, plus rapides et moins coûteuses que de repasser systématiquement par un appel LLM.</w:t>
      </w:r>
    </w:p>
    <w:p>
      <w:pPr>
        <w:pStyle w:val="ListParagraph"/>
        <w:numPr>
          <w:ilvl w:val="0"/>
          <w:numId w:val="3"/>
        </w:numPr>
        <w:spacing w:after="100"/>
      </w:pPr>
      <w:r>
        <w:rPr>
          <w:rFonts w:ascii="Arial" w:cs="Arial" w:eastAsia="Arial" w:hAnsi="Arial"/>
          <w:sz w:val="22"/>
          <w:szCs w:val="22"/>
        </w:rPr>
        <w:t xml:space="preserve">Mise en place d'une veille automatisée (surveillance des journaux officiels par pays) pour détecter les amendements ou abrogations, plutôt qu'une réintégration manuelle périodique.</w:t>
      </w:r>
    </w:p>
    <w:p>
      <w:pPr>
        <w:pStyle w:val="Heading1"/>
      </w:pPr>
      <w:r>
        <w:t xml:space="preserve">9. Ce que l'on a appris</w:t>
      </w:r>
    </w:p>
    <w:p>
      <w:pPr>
        <w:spacing w:after="160"/>
      </w:pPr>
      <w:r>
        <w:rPr>
          <w:rFonts w:ascii="Arial" w:cs="Arial" w:eastAsia="Arial" w:hAnsi="Arial"/>
          <w:sz w:val="22"/>
          <w:szCs w:val="22"/>
        </w:rPr>
        <w:t xml:space="preserve">L'IA générative (LLM) a été l'élément déterminant de ce projet : c'est la seule des trois méthodes testées qui généralise à la fois entre langues (anglais/thaï) et entre formats (tableau/prose) sans travail d'ingénierie répété par document. Elle a aussi permis, en quelques appels, d'identifier des sources réglementaires plausibles pour quatre pays sans documentation préexistante.</w:t>
      </w:r>
    </w:p>
    <w:p>
      <w:pPr>
        <w:spacing w:after="160"/>
      </w:pPr>
      <w:r>
        <w:rPr>
          <w:rFonts w:ascii="Arial" w:cs="Arial" w:eastAsia="Arial" w:hAnsi="Arial"/>
          <w:sz w:val="22"/>
          <w:szCs w:val="22"/>
        </w:rPr>
        <w:t xml:space="preserve">Elle n'a en revanche résolu ni l'absence de couche texte sur un PDF scanné (un problème d'OCR, en amont de l'extraction), ni la question de la fiabilité de la source elle-même (un LLM peut lire un texte, il ne garantit pas que ce texte est bien la version officielle en vigueur). Ces deux limites sont structurelles, pas des détails d'implémentation : elles définissent les deux chantiers à traiter avant tout déploiement réel (infrastructure OCR/multimodale, et fiabilisation des sources).</w:t>
      </w:r>
    </w:p>
    <w:p>
      <w:pPr>
        <w:spacing w:after="160"/>
      </w:pPr>
      <w:r>
        <w:rPr>
          <w:rFonts w:ascii="Arial" w:cs="Arial" w:eastAsia="Arial" w:hAnsi="Arial"/>
          <w:sz w:val="22"/>
          <w:szCs w:val="22"/>
        </w:rPr>
        <w:t xml:space="preserve">Autre enseignement méthodologique : tester chaque approche sur un format qu'elle n'a pas été conçue pour traiter (plutôt que de la valider seulement sur son cas favorable) a été plus informatif que la performance sur le cas favorable lui-même — c'est ce qui a révélé, par exemple, que l'approche B fonctionne sur un tableau thaï sans qu'on lise le thaï, ou que l'approche A échoue totalement dès que le format change.</w:t>
      </w:r>
    </w:p>
    <w:p>
      <w:pPr>
        <w:pStyle w:val="Heading1"/>
      </w:pPr>
      <w:r>
        <w:t xml:space="preserve">10. Ce cas d'usage est-il applicable dans nos entreprises ?</w:t>
      </w:r>
    </w:p>
    <w:p>
      <w:pPr>
        <w:spacing w:after="160"/>
      </w:pPr>
      <w:r>
        <w:rPr>
          <w:rFonts w:ascii="Arial" w:cs="Arial" w:eastAsia="Arial" w:hAnsi="Arial"/>
          <w:sz w:val="22"/>
          <w:szCs w:val="22"/>
        </w:rPr>
        <w:t xml:space="preserve">Le schéma retenu (règle générale + conditions + exceptions) et la méthode d'extraction par LLM avec traçabilité et détection explicite de l'ambiguïté (plutôt que résolution automatique silencieuse) sont transposables à tout corpus de documents normatifs hétérogènes et multilingues, où une équipe doit produire une base de règles structurée sans avoir l'expertise linguistique ou juridique de chaque source. Exemples de transposition directe : conditions générales de vente fournisseurs multi-pays, normes qualité/sécurité par pays, grilles tarifaires réglementées, ou plus généralement toute veille normative internationale.</w:t>
      </w:r>
    </w:p>
    <w:p>
      <w:pPr>
        <w:spacing w:after="160"/>
      </w:pPr>
      <w:r>
        <w:rPr>
          <w:rFonts w:ascii="Arial" w:cs="Arial" w:eastAsia="Arial" w:hAnsi="Arial"/>
          <w:sz w:val="22"/>
          <w:szCs w:val="22"/>
        </w:rPr>
        <w:t xml:space="preserve">La condition de transposition est la même que celle identifiée dans ce projet : accepter de séparer « trouver et valider la source » (processus documentaire/juridique, qui reste largement humain) de « structurer une source déjà obtenue » (ce que l'IA fait bien, à condition d'un contrôle de traçabilité et d'un circuit de validation humaine pour les cas ambigus).</w:t>
      </w:r>
    </w:p>
    <w:p>
      <w:pPr>
        <w:pStyle w:val="Heading1"/>
      </w:pPr>
      <w:r>
        <w:t xml:space="preserve">11. Questions pour la suite, si ce cas d'usage était déployé réellement</w:t>
      </w:r>
    </w:p>
    <w:p>
      <w:pPr>
        <w:pStyle w:val="ListParagraph"/>
        <w:numPr>
          <w:ilvl w:val="0"/>
          <w:numId w:val="3"/>
        </w:numPr>
        <w:spacing w:after="100"/>
      </w:pPr>
      <w:r>
        <w:rPr>
          <w:rFonts w:ascii="Arial" w:cs="Arial" w:eastAsia="Arial" w:hAnsi="Arial"/>
          <w:sz w:val="22"/>
          <w:szCs w:val="22"/>
        </w:rPr>
        <w:t xml:space="preserve">Qui valide, côté métier ou juridique, les règles marquées ambiguës avant publication dans l'outil — et sous quel délai, pour ne pas bloquer la mise à jour ?</w:t>
      </w:r>
    </w:p>
    <w:p>
      <w:pPr>
        <w:pStyle w:val="ListParagraph"/>
        <w:numPr>
          <w:ilvl w:val="0"/>
          <w:numId w:val="3"/>
        </w:numPr>
        <w:spacing w:after="100"/>
      </w:pPr>
      <w:r>
        <w:rPr>
          <w:rFonts w:ascii="Arial" w:cs="Arial" w:eastAsia="Arial" w:hAnsi="Arial"/>
          <w:sz w:val="22"/>
          <w:szCs w:val="22"/>
        </w:rPr>
        <w:t xml:space="preserve">Quelle procédure de veille pour détecter qu'un texte source a été amendé ou abrogé (cas observé dans l'échantillon thaïlandais, où un avis republié abroge le précédent) — surveillance automatique des journaux officiels par pays ?</w:t>
      </w:r>
    </w:p>
    <w:p>
      <w:pPr>
        <w:pStyle w:val="ListParagraph"/>
        <w:numPr>
          <w:ilvl w:val="0"/>
          <w:numId w:val="3"/>
        </w:numPr>
        <w:spacing w:after="100"/>
      </w:pPr>
      <w:r>
        <w:rPr>
          <w:rFonts w:ascii="Arial" w:cs="Arial" w:eastAsia="Arial" w:hAnsi="Arial"/>
          <w:sz w:val="22"/>
          <w:szCs w:val="22"/>
        </w:rPr>
        <w:t xml:space="preserve">Faut-il un relecteur natif pour chaque langue couverte, au moins en échantillonnage, pour auditer la fidélité de l'extraction LLM sur les langues que l'équipe ne lit pas ?</w:t>
      </w:r>
    </w:p>
    <w:p>
      <w:pPr>
        <w:pStyle w:val="ListParagraph"/>
        <w:numPr>
          <w:ilvl w:val="0"/>
          <w:numId w:val="3"/>
        </w:numPr>
        <w:spacing w:after="100"/>
      </w:pPr>
      <w:r>
        <w:rPr>
          <w:rFonts w:ascii="Arial" w:cs="Arial" w:eastAsia="Arial" w:hAnsi="Arial"/>
          <w:sz w:val="22"/>
          <w:szCs w:val="22"/>
        </w:rPr>
        <w:t xml:space="preserve">Quel budget d'appels API prévoir pour un corpus de plusieurs centaines de documents (la Thaïlande seule en compte une quarantaine dans l'échantillon fourni), et quelle stratégie de découpage des documents longs pour ne pas perdre les renvois entre articles ?</w:t>
      </w:r>
    </w:p>
    <w:p>
      <w:pPr>
        <w:pStyle w:val="ListParagraph"/>
        <w:numPr>
          <w:ilvl w:val="0"/>
          <w:numId w:val="3"/>
        </w:numPr>
        <w:spacing w:after="100"/>
      </w:pPr>
      <w:r>
        <w:rPr>
          <w:rFonts w:ascii="Arial" w:cs="Arial" w:eastAsia="Arial" w:hAnsi="Arial"/>
          <w:sz w:val="22"/>
          <w:szCs w:val="22"/>
        </w:rPr>
        <w:t xml:space="preserve">Comment mesurer en continu la performance du pipeline une fois en production (pas seulement au moment du test), pour détecter une dérive silencieuse si le format d'un pays change ?</w:t>
      </w:r>
    </w:p>
    <w:p>
      <w:pPr>
        <w:pStyle w:val="ListParagraph"/>
        <w:numPr>
          <w:ilvl w:val="0"/>
          <w:numId w:val="3"/>
        </w:numPr>
        <w:spacing w:after="100"/>
      </w:pPr>
      <w:r>
        <w:rPr>
          <w:rFonts w:ascii="Arial" w:cs="Arial" w:eastAsia="Arial" w:hAnsi="Arial"/>
          <w:sz w:val="22"/>
          <w:szCs w:val="22"/>
        </w:rPr>
        <w:t xml:space="preserve">Faut-il un contrat avec un fournisseur de veille réglementaire déjà spécialisé pour garantir l'authenticité et la fraîcheur des sources, plutôt que de s'appuyer sur une recherche web ad hoc comme dans le test des quatre pays (section 7) ?</w:t>
      </w:r>
    </w:p>
    <w:p>
      <w:pPr>
        <w:pStyle w:val="Heading1"/>
      </w:pPr>
      <w:r>
        <w:t xml:space="preserve">12. Conclusion</w:t>
      </w:r>
    </w:p>
    <w:p>
      <w:pPr>
        <w:spacing w:after="160"/>
      </w:pPr>
      <w:r>
        <w:rPr>
          <w:rFonts w:ascii="Arial" w:cs="Arial" w:eastAsia="Arial" w:hAnsi="Arial"/>
          <w:sz w:val="22"/>
          <w:szCs w:val="22"/>
        </w:rPr>
        <w:t xml:space="preserve">Le projet valide qu'une matrice structurée de règles réglementaires — au-delà du tableau plat déjà utilisé — peut être définie de façon à représenter sans perte les cas ambigus et les exceptions rencontrés dans des textes réels (Codex, UE, Thaïlande). Il montre qu'une extraction automatique fondée sur un LLM généralise mieux que des règles ou qu'un parseur de mise en page dès que le format ou la langue changent, avec un rappel de 87,5 % sur le jeu de test contre 25 % et 50 % pour les deux autres approches. Il montre enfin que le principal obstacle à une industrialisation complète n'est pas l'extraction elle-même, mais l'obtention de sources officielles fiables pour de nouveaux pays, et le traitement de documents scannés dans des langues que l'équipe ne maîtrise pas — deux chantiers distincts, documentés ici avec leurs limites concrètes plutôt que supposés résolus.</w:t>
      </w:r>
    </w:p>
    <w:p>
      <w:r>
        <w:br w:type="page"/>
      </w:r>
    </w:p>
    <w:p>
      <w:pPr>
        <w:pStyle w:val="Heading1"/>
      </w:pPr>
      <w:r>
        <w:t xml:space="preserve">Annexe — Documents utilisés et livrables associés</w:t>
      </w:r>
    </w:p>
    <w:p>
      <w:pPr>
        <w:spacing w:after="160"/>
      </w:pPr>
      <w:r>
        <w:rPr>
          <w:rFonts w:ascii="Arial" w:cs="Arial" w:eastAsia="Arial" w:hAnsi="Arial"/>
          <w:sz w:val="22"/>
          <w:szCs w:val="22"/>
        </w:rPr>
        <w:t xml:space="preserve">Échantillons analysés : Codex (CXS 192-1995 Norme générale pour les additifs alimentaires, CXS 180e FSMP), Union Européenne (règlement délégué 2016/128 FSMP, règlement 1333/2008 additifs), Inde (Food Safety and Standards Nutra Regulations 2022, GMP additifs), Thaïlande (avis n°268/2546, n°414/2563, n°281/2547).</w:t>
      </w:r>
    </w:p>
    <w:p>
      <w:pPr>
        <w:spacing w:after="160"/>
      </w:pPr>
      <w:r>
        <w:rPr>
          <w:rFonts w:ascii="Arial" w:cs="Arial" w:eastAsia="Arial" w:hAnsi="Arial"/>
          <w:sz w:val="22"/>
          <w:szCs w:val="22"/>
        </w:rPr>
        <w:t xml:space="preserve">Le raisonnement de ce rapport est étayé, extrait par extrait, dans le notebook joint « Notebook_Extraction_Reglementations.ipynb », qui contient le code exécuté, les sorties obtenues, et la matrice consolidée exportée (« matrice_reglementaire_consolidee.csv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F4E5F"/>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1F4E5F"/>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61d674867b5f02bfb65b0deedfbe9671e4d51e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2026-07-02T16:48:32.614Z</dcterms:created>
  <dcterms:modified xsi:type="dcterms:W3CDTF">2026-07-02T16:48:32.614Z</dcterms:modified>
</cp:coreProperties>
</file>

<file path=docProps/custom.xml><?xml version="1.0" encoding="utf-8"?>
<Properties xmlns="http://schemas.openxmlformats.org/officeDocument/2006/custom-properties" xmlns:vt="http://schemas.openxmlformats.org/officeDocument/2006/docPropsVTypes"/>
</file>