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Palatino Linotype" w:cs="Palatino Linotype" w:eastAsia="Palatino Linotype" w:hAnsi="Palatino Linotype"/>
          <w:b w:val="0"/>
          <w:i w:val="1"/>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20"/>
          <w:szCs w:val="20"/>
          <w:u w:val="none"/>
          <w:shd w:fill="auto" w:val="clear"/>
          <w:vertAlign w:val="baseline"/>
          <w:rtl w:val="0"/>
        </w:rPr>
        <w:t xml:space="preserve">Article</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Palatino Linotype" w:cs="Palatino Linotype" w:eastAsia="Palatino Linotype" w:hAnsi="Palatino Linotype"/>
          <w:b w:val="1"/>
          <w:i w:val="0"/>
          <w:smallCaps w:val="0"/>
          <w:strike w:val="0"/>
          <w:color w:val="000000"/>
          <w:sz w:val="36"/>
          <w:szCs w:val="36"/>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36"/>
          <w:szCs w:val="36"/>
          <w:u w:val="none"/>
          <w:shd w:fill="auto" w:val="clear"/>
          <w:vertAlign w:val="baseline"/>
          <w:rtl w:val="0"/>
        </w:rPr>
        <w:t xml:space="preserve">Title</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40" w:lineRule="auto"/>
        <w:ind w:left="0"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Ana Beatriz Hernández-Lara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superscript"/>
          <w:rtl w:val="0"/>
        </w:rPr>
        <w:t xml:space="preserve">1</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 Antonia Terán-Bustamante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superscript"/>
          <w:rtl w:val="0"/>
        </w:rPr>
        <w:t xml:space="preserve">2,</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 Sandra Nelly Leyva-Hernández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superscript"/>
          <w:rtl w:val="0"/>
        </w:rPr>
        <w:t xml:space="preserve">1</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 and Vladimiro González-Zelaya </w:t>
      </w:r>
      <w:r w:rsidDel="00000000" w:rsidR="00000000" w:rsidRPr="00000000">
        <w:rPr>
          <w:b w:val="1"/>
          <w:sz w:val="22"/>
          <w:szCs w:val="22"/>
          <w:vertAlign w:val="superscript"/>
          <w:rtl w:val="0"/>
        </w:rPr>
        <w:t xml:space="preserve">4</w:t>
      </w:r>
      <w:r w:rsidDel="00000000" w:rsidR="00000000" w:rsidRPr="00000000">
        <w:rPr>
          <w:rtl w:val="0"/>
        </w:rPr>
      </w:r>
    </w:p>
    <w:tbl>
      <w:tblPr>
        <w:tblStyle w:val="Table1"/>
        <w:tblW w:w="2410.0" w:type="dxa"/>
        <w:jc w:val="left"/>
        <w:tblLayout w:type="fixed"/>
        <w:tblLook w:val="0400"/>
      </w:tblPr>
      <w:tblGrid>
        <w:gridCol w:w="2410"/>
        <w:tblGridChange w:id="0">
          <w:tblGrid>
            <w:gridCol w:w="2410"/>
          </w:tblGrid>
        </w:tblGridChange>
      </w:tblGrid>
      <w:tr>
        <w:trPr>
          <w:cantSplit w:val="0"/>
          <w:tblHeader w:val="0"/>
        </w:trPr>
        <w:tc>
          <w:tcPr>
            <w:shd w:fill="auto" w:val="clea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113" w:firstLine="0"/>
              <w:jc w:val="left"/>
              <w:rPr>
                <w:rFonts w:ascii="Palatino Linotype" w:cs="Palatino Linotype" w:eastAsia="Palatino Linotype" w:hAnsi="Palatino Linotype"/>
                <w:b w:val="0"/>
                <w:i w:val="0"/>
                <w:smallCaps w:val="0"/>
                <w:strike w:val="0"/>
                <w:color w:val="000000"/>
                <w:sz w:val="14"/>
                <w:szCs w:val="1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14"/>
                <w:szCs w:val="14"/>
                <w:u w:val="none"/>
                <w:shd w:fill="auto" w:val="clear"/>
                <w:vertAlign w:val="baseline"/>
                <w:rtl w:val="0"/>
              </w:rPr>
              <w:t xml:space="preserve">Citation: </w:t>
            </w:r>
            <w:r w:rsidDel="00000000" w:rsidR="00000000" w:rsidRPr="00000000">
              <w:rPr>
                <w:rFonts w:ascii="Palatino Linotype" w:cs="Palatino Linotype" w:eastAsia="Palatino Linotype" w:hAnsi="Palatino Linotype"/>
                <w:b w:val="0"/>
                <w:i w:val="0"/>
                <w:smallCaps w:val="0"/>
                <w:strike w:val="0"/>
                <w:color w:val="000000"/>
                <w:sz w:val="14"/>
                <w:szCs w:val="14"/>
                <w:u w:val="none"/>
                <w:shd w:fill="auto" w:val="clear"/>
                <w:vertAlign w:val="baseline"/>
                <w:rtl w:val="0"/>
              </w:rPr>
              <w:t xml:space="preserve">To be added by editorial staff during production.</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113" w:firstLine="0"/>
              <w:jc w:val="left"/>
              <w:rPr>
                <w:rFonts w:ascii="Palatino Linotype" w:cs="Palatino Linotype" w:eastAsia="Palatino Linotype" w:hAnsi="Palatino Linotype"/>
                <w:b w:val="0"/>
                <w:i w:val="0"/>
                <w:smallCaps w:val="0"/>
                <w:strike w:val="0"/>
                <w:color w:val="000000"/>
                <w:sz w:val="14"/>
                <w:szCs w:val="1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4"/>
                <w:szCs w:val="14"/>
                <w:u w:val="none"/>
                <w:shd w:fill="auto" w:val="clear"/>
                <w:vertAlign w:val="baseline"/>
                <w:rtl w:val="0"/>
              </w:rPr>
              <w:t xml:space="preserve">Received: date</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13" w:firstLine="0"/>
              <w:jc w:val="left"/>
              <w:rPr>
                <w:rFonts w:ascii="Palatino Linotype" w:cs="Palatino Linotype" w:eastAsia="Palatino Linotype" w:hAnsi="Palatino Linotype"/>
                <w:b w:val="0"/>
                <w:i w:val="0"/>
                <w:smallCaps w:val="0"/>
                <w:strike w:val="0"/>
                <w:color w:val="000000"/>
                <w:sz w:val="14"/>
                <w:szCs w:val="1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4"/>
                <w:szCs w:val="14"/>
                <w:u w:val="none"/>
                <w:shd w:fill="auto" w:val="clear"/>
                <w:vertAlign w:val="baseline"/>
                <w:rtl w:val="0"/>
              </w:rPr>
              <w:t xml:space="preserve">Revised: date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13" w:firstLine="0"/>
              <w:jc w:val="left"/>
              <w:rPr>
                <w:rFonts w:ascii="Palatino Linotype" w:cs="Palatino Linotype" w:eastAsia="Palatino Linotype" w:hAnsi="Palatino Linotype"/>
                <w:b w:val="0"/>
                <w:i w:val="0"/>
                <w:smallCaps w:val="0"/>
                <w:strike w:val="0"/>
                <w:color w:val="000000"/>
                <w:sz w:val="14"/>
                <w:szCs w:val="1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4"/>
                <w:szCs w:val="14"/>
                <w:u w:val="none"/>
                <w:shd w:fill="auto" w:val="clear"/>
                <w:vertAlign w:val="baseline"/>
                <w:rtl w:val="0"/>
              </w:rPr>
              <w:t xml:space="preserve">Accepted: date</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113" w:firstLine="0"/>
              <w:jc w:val="left"/>
              <w:rPr>
                <w:rFonts w:ascii="Palatino Linotype" w:cs="Palatino Linotype" w:eastAsia="Palatino Linotype" w:hAnsi="Palatino Linotype"/>
                <w:b w:val="0"/>
                <w:i w:val="0"/>
                <w:smallCaps w:val="0"/>
                <w:strike w:val="0"/>
                <w:color w:val="000000"/>
                <w:sz w:val="14"/>
                <w:szCs w:val="1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4"/>
                <w:szCs w:val="14"/>
                <w:u w:val="none"/>
                <w:shd w:fill="auto" w:val="clear"/>
                <w:vertAlign w:val="baseline"/>
                <w:rtl w:val="0"/>
              </w:rPr>
              <w:t xml:space="preserve">Published: date</w:t>
            </w:r>
          </w:p>
          <w:p w:rsidR="00000000" w:rsidDel="00000000" w:rsidP="00000000" w:rsidRDefault="00000000" w:rsidRPr="00000000" w14:paraId="00000009">
            <w:pPr>
              <w:spacing w:before="120" w:lineRule="auto"/>
              <w:ind w:right="113"/>
              <w:jc w:val="left"/>
              <w:rPr>
                <w:sz w:val="14"/>
                <w:szCs w:val="14"/>
              </w:rPr>
            </w:pPr>
            <w:r w:rsidDel="00000000" w:rsidR="00000000" w:rsidRPr="00000000">
              <w:rPr/>
              <w:drawing>
                <wp:inline distB="0" distT="0" distL="0" distR="0">
                  <wp:extent cx="692785" cy="249555"/>
                  <wp:effectExtent b="0" l="0" r="0" t="0"/>
                  <wp:docPr id="1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92785" cy="24955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113" w:firstLine="0"/>
              <w:jc w:val="both"/>
              <w:rPr>
                <w:rFonts w:ascii="Palatino Linotype" w:cs="Palatino Linotype" w:eastAsia="Palatino Linotype" w:hAnsi="Palatino Linotype"/>
                <w:b w:val="0"/>
                <w:i w:val="0"/>
                <w:smallCaps w:val="0"/>
                <w:strike w:val="0"/>
                <w:color w:val="000000"/>
                <w:sz w:val="14"/>
                <w:szCs w:val="1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14"/>
                <w:szCs w:val="14"/>
                <w:u w:val="none"/>
                <w:shd w:fill="auto" w:val="clear"/>
                <w:vertAlign w:val="baseline"/>
                <w:rtl w:val="0"/>
              </w:rPr>
              <w:t xml:space="preserve">Copyright:</w:t>
            </w:r>
            <w:r w:rsidDel="00000000" w:rsidR="00000000" w:rsidRPr="00000000">
              <w:rPr>
                <w:rFonts w:ascii="Palatino Linotype" w:cs="Palatino Linotype" w:eastAsia="Palatino Linotype" w:hAnsi="Palatino Linotype"/>
                <w:b w:val="0"/>
                <w:i w:val="0"/>
                <w:smallCaps w:val="0"/>
                <w:strike w:val="0"/>
                <w:color w:val="000000"/>
                <w:sz w:val="14"/>
                <w:szCs w:val="14"/>
                <w:u w:val="none"/>
                <w:shd w:fill="auto" w:val="clear"/>
                <w:vertAlign w:val="baseline"/>
                <w:rtl w:val="0"/>
              </w:rPr>
              <w:t xml:space="preserve"> © 2023 by the authors. Submitted for possible open access publication under the terms and conditions of the Creative Commons Attribution (CC BY) license (https://creativecommons.org/licenses/by/4.0/).</w:t>
            </w:r>
          </w:p>
        </w:tc>
      </w:tr>
    </w:tbl>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06" w:right="0" w:hanging="198.0000000000001"/>
        <w:jc w:val="left"/>
        <w:rPr>
          <w:rFonts w:ascii="Palatino Linotype" w:cs="Palatino Linotype" w:eastAsia="Palatino Linotype" w:hAnsi="Palatino Linotype"/>
          <w:b w:val="0"/>
          <w:i w:val="0"/>
          <w:smallCaps w:val="0"/>
          <w:strike w:val="0"/>
          <w:color w:val="000000"/>
          <w:sz w:val="16"/>
          <w:szCs w:val="16"/>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6"/>
          <w:szCs w:val="16"/>
          <w:u w:val="none"/>
          <w:shd w:fill="auto" w:val="clear"/>
          <w:vertAlign w:val="superscript"/>
          <w:rtl w:val="0"/>
        </w:rPr>
        <w:t xml:space="preserve">1</w:t>
      </w:r>
      <w:r w:rsidDel="00000000" w:rsidR="00000000" w:rsidRPr="00000000">
        <w:rPr>
          <w:rFonts w:ascii="Palatino Linotype" w:cs="Palatino Linotype" w:eastAsia="Palatino Linotype" w:hAnsi="Palatino Linotype"/>
          <w:b w:val="0"/>
          <w:i w:val="0"/>
          <w:smallCaps w:val="0"/>
          <w:strike w:val="0"/>
          <w:color w:val="000000"/>
          <w:sz w:val="16"/>
          <w:szCs w:val="16"/>
          <w:u w:val="none"/>
          <w:shd w:fill="auto" w:val="clear"/>
          <w:vertAlign w:val="baseline"/>
          <w:rtl w:val="0"/>
        </w:rPr>
        <w:tab/>
        <w:t xml:space="preserve">Facultad de Ingeniería y Negocios San Quintín, Universidad Autónoma de Baja California, Baja California, 22930; leyva.sandra@uabc.edu.mx</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06" w:right="0" w:hanging="198.0000000000001"/>
        <w:jc w:val="left"/>
        <w:rPr>
          <w:rFonts w:ascii="Palatino Linotype" w:cs="Palatino Linotype" w:eastAsia="Palatino Linotype" w:hAnsi="Palatino Linotype"/>
          <w:b w:val="0"/>
          <w:i w:val="0"/>
          <w:smallCaps w:val="0"/>
          <w:strike w:val="0"/>
          <w:color w:val="000000"/>
          <w:sz w:val="16"/>
          <w:szCs w:val="16"/>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6"/>
          <w:szCs w:val="16"/>
          <w:u w:val="none"/>
          <w:shd w:fill="auto" w:val="clear"/>
          <w:vertAlign w:val="superscript"/>
          <w:rtl w:val="0"/>
        </w:rPr>
        <w:t xml:space="preserve">2</w:t>
      </w:r>
      <w:r w:rsidDel="00000000" w:rsidR="00000000" w:rsidRPr="00000000">
        <w:rPr>
          <w:rFonts w:ascii="Palatino Linotype" w:cs="Palatino Linotype" w:eastAsia="Palatino Linotype" w:hAnsi="Palatino Linotype"/>
          <w:b w:val="0"/>
          <w:i w:val="0"/>
          <w:smallCaps w:val="0"/>
          <w:strike w:val="0"/>
          <w:color w:val="000000"/>
          <w:sz w:val="16"/>
          <w:szCs w:val="16"/>
          <w:u w:val="none"/>
          <w:shd w:fill="auto" w:val="clear"/>
          <w:vertAlign w:val="baseline"/>
          <w:rtl w:val="0"/>
        </w:rPr>
        <w:tab/>
        <w:t xml:space="preserve">Facultad de Ciencias Económicas y Empresariales, Universidad Panamericana, Ciudad de México 03920; ateran@up.edu.mx</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06" w:right="0" w:hanging="198.0000000000001"/>
        <w:jc w:val="left"/>
        <w:rPr>
          <w:rFonts w:ascii="Palatino Linotype" w:cs="Palatino Linotype" w:eastAsia="Palatino Linotype" w:hAnsi="Palatino Linotype"/>
          <w:b w:val="0"/>
          <w:i w:val="0"/>
          <w:smallCaps w:val="0"/>
          <w:strike w:val="0"/>
          <w:color w:val="000000"/>
          <w:sz w:val="16"/>
          <w:szCs w:val="16"/>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6"/>
          <w:szCs w:val="16"/>
          <w:u w:val="none"/>
          <w:shd w:fill="auto" w:val="clear"/>
          <w:vertAlign w:val="superscript"/>
          <w:rtl w:val="0"/>
        </w:rPr>
        <w:t xml:space="preserve">3</w:t>
      </w:r>
      <w:r w:rsidDel="00000000" w:rsidR="00000000" w:rsidRPr="00000000">
        <w:rPr>
          <w:rFonts w:ascii="Palatino Linotype" w:cs="Palatino Linotype" w:eastAsia="Palatino Linotype" w:hAnsi="Palatino Linotype"/>
          <w:b w:val="0"/>
          <w:i w:val="0"/>
          <w:smallCaps w:val="0"/>
          <w:strike w:val="0"/>
          <w:color w:val="000000"/>
          <w:sz w:val="16"/>
          <w:szCs w:val="16"/>
          <w:u w:val="none"/>
          <w:shd w:fill="auto" w:val="clear"/>
          <w:vertAlign w:val="baseline"/>
          <w:rtl w:val="0"/>
        </w:rPr>
        <w:tab/>
        <w:t xml:space="preserve">Facultad de Ingeniería y Negocios San Quintín, Universidad Autónoma de Baja California, Baja California, 22930; </w:t>
      </w:r>
      <w:hyperlink r:id="rId9">
        <w:r w:rsidDel="00000000" w:rsidR="00000000" w:rsidRPr="00000000">
          <w:rPr>
            <w:rFonts w:ascii="Palatino Linotype" w:cs="Palatino Linotype" w:eastAsia="Palatino Linotype" w:hAnsi="Palatino Linotype"/>
            <w:b w:val="0"/>
            <w:i w:val="0"/>
            <w:smallCaps w:val="0"/>
            <w:strike w:val="0"/>
            <w:color w:val="1155cc"/>
            <w:sz w:val="16"/>
            <w:szCs w:val="16"/>
            <w:u w:val="single"/>
            <w:shd w:fill="auto" w:val="clear"/>
            <w:vertAlign w:val="baseline"/>
            <w:rtl w:val="0"/>
          </w:rPr>
          <w:t xml:space="preserve">leyva.sandra@uabc.edu.mx</w:t>
        </w:r>
      </w:hyperlink>
      <w:r w:rsidDel="00000000" w:rsidR="00000000" w:rsidRPr="00000000">
        <w:rPr>
          <w:rtl w:val="0"/>
        </w:rPr>
      </w:r>
    </w:p>
    <w:p w:rsidR="00000000" w:rsidDel="00000000" w:rsidP="00000000" w:rsidRDefault="00000000" w:rsidRPr="00000000" w14:paraId="0000000E">
      <w:pPr>
        <w:ind w:left="2806" w:hanging="198.0000000000001"/>
        <w:jc w:val="left"/>
        <w:rPr>
          <w:sz w:val="16"/>
          <w:szCs w:val="16"/>
        </w:rPr>
      </w:pPr>
      <w:r w:rsidDel="00000000" w:rsidR="00000000" w:rsidRPr="00000000">
        <w:rPr>
          <w:sz w:val="16"/>
          <w:szCs w:val="16"/>
          <w:vertAlign w:val="superscript"/>
          <w:rtl w:val="0"/>
        </w:rPr>
        <w:t xml:space="preserve">4</w:t>
      </w:r>
      <w:r w:rsidDel="00000000" w:rsidR="00000000" w:rsidRPr="00000000">
        <w:rPr>
          <w:sz w:val="16"/>
          <w:szCs w:val="16"/>
          <w:rtl w:val="0"/>
        </w:rPr>
        <w:tab/>
        <w:t xml:space="preserve">Facultad de Ciencias Económicas y Empresariales, Universidad Panamericana, Ciudad de México 03920; cvgonzalez@up.edu.mx</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06" w:right="0" w:hanging="198.0000000000001"/>
        <w:jc w:val="left"/>
        <w:rPr>
          <w:rFonts w:ascii="Palatino Linotype" w:cs="Palatino Linotype" w:eastAsia="Palatino Linotype" w:hAnsi="Palatino Linotype"/>
          <w:b w:val="0"/>
          <w:i w:val="0"/>
          <w:smallCaps w:val="0"/>
          <w:strike w:val="0"/>
          <w:color w:val="000000"/>
          <w:sz w:val="16"/>
          <w:szCs w:val="16"/>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16"/>
          <w:szCs w:val="16"/>
          <w:u w:val="none"/>
          <w:shd w:fill="auto" w:val="clear"/>
          <w:vertAlign w:val="baseline"/>
          <w:rtl w:val="0"/>
        </w:rPr>
        <w:t xml:space="preserve">*</w:t>
      </w:r>
      <w:r w:rsidDel="00000000" w:rsidR="00000000" w:rsidRPr="00000000">
        <w:rPr>
          <w:rFonts w:ascii="Palatino Linotype" w:cs="Palatino Linotype" w:eastAsia="Palatino Linotype" w:hAnsi="Palatino Linotype"/>
          <w:b w:val="0"/>
          <w:i w:val="0"/>
          <w:smallCaps w:val="0"/>
          <w:strike w:val="0"/>
          <w:color w:val="000000"/>
          <w:sz w:val="16"/>
          <w:szCs w:val="16"/>
          <w:u w:val="none"/>
          <w:shd w:fill="auto" w:val="clear"/>
          <w:vertAlign w:val="baseline"/>
          <w:rtl w:val="0"/>
        </w:rPr>
        <w:tab/>
        <w:t xml:space="preserve">Correspondence: ateran@up.edu.mx</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2608" w:right="0" w:firstLine="0"/>
        <w:jc w:val="both"/>
        <w:rPr>
          <w:rFonts w:ascii="Palatino Linotype" w:cs="Palatino Linotype" w:eastAsia="Palatino Linotype" w:hAnsi="Palatino Linotype"/>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Abstract: </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A single paragraph of about 200 words maximum. For research articles, abstracts should give a pertinent overview of the work. We strongly encourage authors to use the following style of structured abstracts, but without headings: (1) Background: Place the question addressed in a broad context and highlight the purpose of the study; (2) Methods: briefly describe the main methods or treatments applied; (3) Results: summarize the article’s main findings; (4) Conclusions: indicate the main conclusions or interpretations. The abstract should be an objective representation of the article and it must not contain results that are not presented and substantiated in the main text and should not exaggerate the main conclusions.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2608" w:right="0" w:firstLine="0"/>
        <w:jc w:val="both"/>
        <w:rPr>
          <w:rFonts w:ascii="Palatino Linotype" w:cs="Palatino Linotype" w:eastAsia="Palatino Linotype" w:hAnsi="Palatino Linotype"/>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Keywords: </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keyword 1; keyword 2; keyword 3 (List three to ten pertinent keywords specific to the article yet reasonably common within the subject discipline.)</w:t>
      </w:r>
    </w:p>
    <w:p w:rsidR="00000000" w:rsidDel="00000000" w:rsidP="00000000" w:rsidRDefault="00000000" w:rsidRPr="00000000" w14:paraId="00000012">
      <w:pPr>
        <w:keepNext w:val="0"/>
        <w:keepLines w:val="0"/>
        <w:pageBreakBefore w:val="0"/>
        <w:widowControl w:val="1"/>
        <w:pBdr>
          <w:top w:space="0" w:sz="0" w:val="nil"/>
          <w:left w:space="0" w:sz="0" w:val="nil"/>
          <w:bottom w:color="000000" w:space="1" w:sz="6" w:val="single"/>
          <w:right w:space="0" w:sz="0" w:val="nil"/>
          <w:between w:space="0" w:sz="0" w:val="nil"/>
        </w:pBdr>
        <w:shd w:fill="auto" w:val="clear"/>
        <w:spacing w:after="480" w:before="0" w:line="240" w:lineRule="auto"/>
        <w:ind w:left="2608" w:right="0" w:firstLine="0"/>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28" w:lineRule="auto"/>
        <w:ind w:left="2608"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1. Introduction</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425"/>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The introduction should briefly place the study in a broad context and highlight why it is important. It should define the purpose of the work and its significance. The current state of the research field should be carefully reviewed and key publications cited. Please highlight controversial and diverging hypotheses when necessary. Finally, briefly mention the main aim of the work and highlight the principal conclusions. As far as possible, please keep the introduction comprehensible to scientists outside your particular field of research. All the references mentioned in the text should be cited in the “Author-Date” format—e.g., (Baranwal and Munteanu [1921] 1955), (Berry and Smith 1999), (Cojocaru et al. 1999) or Driver et al. (2000). See the end of the document for further details on references.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28" w:lineRule="auto"/>
        <w:ind w:left="2608"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2. Materials and Methods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425"/>
        <w:jc w:val="both"/>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271.9999999999999"/>
        <w:jc w:val="both"/>
        <w:rPr/>
      </w:pPr>
      <w:r w:rsidDel="00000000" w:rsidR="00000000" w:rsidRPr="00000000">
        <w:rPr>
          <w:rtl w:val="0"/>
        </w:rPr>
        <w:t xml:space="preserve">Two data sets were used for our analyses: </w:t>
      </w:r>
      <w:r w:rsidDel="00000000" w:rsidR="00000000" w:rsidRPr="00000000">
        <w:rPr>
          <w:i w:val="1"/>
          <w:rtl w:val="0"/>
        </w:rPr>
        <w:t xml:space="preserve">Women, Business and the Law (WBL)</w:t>
      </w:r>
      <w:r w:rsidDel="00000000" w:rsidR="00000000" w:rsidRPr="00000000">
        <w:rPr>
          <w:rtl w:val="0"/>
        </w:rPr>
        <w:t xml:space="preserve"> (World Bank 2023) and the </w:t>
      </w:r>
      <w:r w:rsidDel="00000000" w:rsidR="00000000" w:rsidRPr="00000000">
        <w:rPr>
          <w:i w:val="1"/>
          <w:rtl w:val="0"/>
        </w:rPr>
        <w:t xml:space="preserve">Entrepreneurship Database (WeData)</w:t>
      </w:r>
      <w:r w:rsidDel="00000000" w:rsidR="00000000" w:rsidRPr="00000000">
        <w:rPr>
          <w:rtl w:val="0"/>
        </w:rPr>
        <w:t xml:space="preserve"> (World Bank 2021). Two experiments were performed:</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271.9999999999999"/>
        <w:jc w:val="both"/>
        <w:rPr/>
      </w:pP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28" w:lineRule="auto"/>
        <w:ind w:left="3600" w:right="0" w:hanging="360"/>
        <w:jc w:val="both"/>
        <w:rPr>
          <w:u w:val="none"/>
        </w:rPr>
      </w:pPr>
      <w:r w:rsidDel="00000000" w:rsidR="00000000" w:rsidRPr="00000000">
        <w:rPr>
          <w:rtl w:val="0"/>
        </w:rPr>
        <w:t xml:space="preserve">Fit a Random Forest classifier to the WBL data to determine the most important predictors for a country’s level of income. This experiment is described in detail in subsection 2.2.</w:t>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28" w:lineRule="auto"/>
        <w:ind w:left="3600" w:right="0" w:hanging="360"/>
        <w:jc w:val="both"/>
        <w:rPr>
          <w:u w:val="none"/>
        </w:rPr>
      </w:pPr>
      <w:r w:rsidDel="00000000" w:rsidR="00000000" w:rsidRPr="00000000">
        <w:rPr>
          <w:rtl w:val="0"/>
        </w:rPr>
        <w:t xml:space="preserve">Perform K Means clustering on the data to detect similarities and differences across countries, going beyond income group and geographical region. This experiment is described in detail in subsection 2.3.</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right="0"/>
        <w:jc w:val="both"/>
        <w:rPr/>
      </w:pPr>
      <w:r w:rsidDel="00000000" w:rsidR="00000000" w:rsidRPr="00000000">
        <w:rPr>
          <w:rtl w:val="0"/>
        </w:rPr>
      </w:r>
    </w:p>
    <w:p w:rsidR="00000000" w:rsidDel="00000000" w:rsidP="00000000" w:rsidRDefault="00000000" w:rsidRPr="00000000" w14:paraId="0000001C">
      <w:pPr>
        <w:spacing w:line="228" w:lineRule="auto"/>
        <w:ind w:left="2608" w:firstLine="271.9999999999999"/>
        <w:rPr/>
      </w:pPr>
      <w:r w:rsidDel="00000000" w:rsidR="00000000" w:rsidRPr="00000000">
        <w:rPr>
          <w:rtl w:val="0"/>
        </w:rPr>
        <w:t xml:space="preserve">The data pre-processing and machine learning modeling were coded in </w:t>
      </w:r>
      <w:r w:rsidDel="00000000" w:rsidR="00000000" w:rsidRPr="00000000">
        <w:rPr>
          <w:i w:val="1"/>
          <w:rtl w:val="0"/>
        </w:rPr>
        <w:t xml:space="preserve">Python 3.10.12</w:t>
      </w:r>
      <w:r w:rsidDel="00000000" w:rsidR="00000000" w:rsidRPr="00000000">
        <w:rPr>
          <w:rtl w:val="0"/>
        </w:rPr>
        <w:t xml:space="preserve">, using </w:t>
      </w:r>
      <w:r w:rsidDel="00000000" w:rsidR="00000000" w:rsidRPr="00000000">
        <w:rPr>
          <w:i w:val="1"/>
          <w:rtl w:val="0"/>
        </w:rPr>
        <w:t xml:space="preserve">pandas 1.5.3</w:t>
      </w:r>
      <w:r w:rsidDel="00000000" w:rsidR="00000000" w:rsidRPr="00000000">
        <w:rPr>
          <w:rtl w:val="0"/>
        </w:rPr>
        <w:t xml:space="preserve">,</w:t>
      </w:r>
      <w:r w:rsidDel="00000000" w:rsidR="00000000" w:rsidRPr="00000000">
        <w:rPr>
          <w:rtl w:val="0"/>
        </w:rPr>
        <w:t xml:space="preserve"> </w:t>
      </w:r>
      <w:r w:rsidDel="00000000" w:rsidR="00000000" w:rsidRPr="00000000">
        <w:rPr>
          <w:i w:val="1"/>
          <w:rtl w:val="0"/>
        </w:rPr>
        <w:t xml:space="preserve">scikit-learn 1.2.2</w:t>
      </w:r>
      <w:r w:rsidDel="00000000" w:rsidR="00000000" w:rsidRPr="00000000">
        <w:rPr>
          <w:rtl w:val="0"/>
        </w:rPr>
        <w:t xml:space="preserve"> and </w:t>
      </w:r>
      <w:r w:rsidDel="00000000" w:rsidR="00000000" w:rsidRPr="00000000">
        <w:rPr>
          <w:i w:val="1"/>
          <w:rtl w:val="0"/>
        </w:rPr>
        <w:t xml:space="preserve">seaborn 0.12.2</w:t>
      </w:r>
      <w:r w:rsidDel="00000000" w:rsidR="00000000" w:rsidRPr="00000000">
        <w:rPr>
          <w:rtl w:val="0"/>
        </w:rPr>
        <w:t xml:space="preserve"> for data analysis, ML modeling and visualizations, respectively. Our code is available as a </w:t>
      </w:r>
      <w:r w:rsidDel="00000000" w:rsidR="00000000" w:rsidRPr="00000000">
        <w:rPr>
          <w:i w:val="1"/>
          <w:rtl w:val="0"/>
        </w:rPr>
        <w:t xml:space="preserve">Jupyter Notebook</w:t>
      </w:r>
      <w:r w:rsidDel="00000000" w:rsidR="00000000" w:rsidRPr="00000000">
        <w:rPr>
          <w:rtl w:val="0"/>
        </w:rPr>
        <w:t xml:space="preserve">, available online</w:t>
      </w:r>
      <w:r w:rsidDel="00000000" w:rsidR="00000000" w:rsidRPr="00000000">
        <w:rPr>
          <w:vertAlign w:val="superscript"/>
        </w:rPr>
        <w:footnoteReference w:customMarkFollows="0" w:id="0"/>
      </w:r>
      <w:r w:rsidDel="00000000" w:rsidR="00000000" w:rsidRPr="00000000">
        <w:rPr>
          <w:rtl w:val="0"/>
        </w:rPr>
        <w:t xml:space="preserve"> for reproducibility.</w:t>
      </w:r>
    </w:p>
    <w:p w:rsidR="00000000" w:rsidDel="00000000" w:rsidP="00000000" w:rsidRDefault="00000000" w:rsidRPr="00000000" w14:paraId="0000001D">
      <w:pPr>
        <w:spacing w:line="228" w:lineRule="auto"/>
        <w:ind w:left="2608" w:firstLine="425"/>
        <w:rPr/>
      </w:pPr>
      <w:r w:rsidDel="00000000" w:rsidR="00000000" w:rsidRPr="00000000">
        <w:rPr>
          <w:rtl w:val="0"/>
        </w:rPr>
      </w:r>
    </w:p>
    <w:p w:rsidR="00000000" w:rsidDel="00000000" w:rsidP="00000000" w:rsidRDefault="00000000" w:rsidRPr="00000000" w14:paraId="0000001E">
      <w:pPr>
        <w:spacing w:line="228" w:lineRule="auto"/>
        <w:ind w:left="2608" w:firstLine="0"/>
        <w:rPr>
          <w:b w:val="1"/>
        </w:rPr>
      </w:pPr>
      <w:r w:rsidDel="00000000" w:rsidR="00000000" w:rsidRPr="00000000">
        <w:rPr>
          <w:b w:val="1"/>
          <w:rtl w:val="0"/>
        </w:rPr>
        <w:t xml:space="preserve">2.1. Data Description and Pre-Processing</w:t>
      </w:r>
    </w:p>
    <w:p w:rsidR="00000000" w:rsidDel="00000000" w:rsidP="00000000" w:rsidRDefault="00000000" w:rsidRPr="00000000" w14:paraId="0000001F">
      <w:pPr>
        <w:spacing w:line="228" w:lineRule="auto"/>
        <w:ind w:left="2608" w:firstLine="0"/>
        <w:rPr>
          <w:b w:val="1"/>
        </w:rPr>
      </w:pPr>
      <w:r w:rsidDel="00000000" w:rsidR="00000000" w:rsidRPr="00000000">
        <w:rPr>
          <w:rtl w:val="0"/>
        </w:rPr>
      </w:r>
    </w:p>
    <w:p w:rsidR="00000000" w:rsidDel="00000000" w:rsidP="00000000" w:rsidRDefault="00000000" w:rsidRPr="00000000" w14:paraId="00000020">
      <w:pPr>
        <w:spacing w:line="228" w:lineRule="auto"/>
        <w:ind w:left="2608" w:firstLine="271.9999999999999"/>
        <w:rPr/>
      </w:pPr>
      <w:r w:rsidDel="00000000" w:rsidR="00000000" w:rsidRPr="00000000">
        <w:rPr>
          <w:rtl w:val="0"/>
        </w:rPr>
        <w:t xml:space="preserve">This small section contains the technical details of the employed data sets, as well as the data pre-processing that was applied to them. Subsection 2.1.1. describes the two analyzed data sets, </w:t>
      </w:r>
      <w:r w:rsidDel="00000000" w:rsidR="00000000" w:rsidRPr="00000000">
        <w:rPr>
          <w:i w:val="1"/>
          <w:rtl w:val="0"/>
        </w:rPr>
        <w:t xml:space="preserve">WBL</w:t>
      </w:r>
      <w:r w:rsidDel="00000000" w:rsidR="00000000" w:rsidRPr="00000000">
        <w:rPr>
          <w:rtl w:val="0"/>
        </w:rPr>
        <w:t xml:space="preserve"> and </w:t>
      </w:r>
      <w:r w:rsidDel="00000000" w:rsidR="00000000" w:rsidRPr="00000000">
        <w:rPr>
          <w:i w:val="1"/>
          <w:rtl w:val="0"/>
        </w:rPr>
        <w:t xml:space="preserve">WeData</w:t>
      </w:r>
      <w:r w:rsidDel="00000000" w:rsidR="00000000" w:rsidRPr="00000000">
        <w:rPr>
          <w:rtl w:val="0"/>
        </w:rPr>
        <w:t xml:space="preserve">, while Subsection 2.1.2. contains the relatively minor pre-processing that was performed on them before the analyses.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right="0"/>
        <w:jc w:val="both"/>
        <w:rPr/>
      </w:pPr>
      <w:r w:rsidDel="00000000" w:rsidR="00000000" w:rsidRPr="00000000">
        <w:rPr>
          <w:rtl w:val="0"/>
        </w:rPr>
        <w:tab/>
        <w:tab/>
        <w:tab/>
        <w:tab/>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10" w:right="0" w:firstLine="0"/>
        <w:jc w:val="both"/>
        <w:rPr>
          <w:b w:val="1"/>
        </w:rPr>
      </w:pPr>
      <w:r w:rsidDel="00000000" w:rsidR="00000000" w:rsidRPr="00000000">
        <w:rPr>
          <w:b w:val="1"/>
          <w:rtl w:val="0"/>
        </w:rPr>
        <w:t xml:space="preserve">2.1.1. Data Sets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160" w:right="0" w:firstLine="720"/>
        <w:jc w:val="both"/>
        <w:rPr/>
      </w:pPr>
      <w:r w:rsidDel="00000000" w:rsidR="00000000" w:rsidRPr="00000000">
        <w:rPr>
          <w:rtl w:val="0"/>
        </w:rPr>
        <w:t xml:space="preserve">   </w:t>
      </w:r>
    </w:p>
    <w:p w:rsidR="00000000" w:rsidDel="00000000" w:rsidP="00000000" w:rsidRDefault="00000000" w:rsidRPr="00000000" w14:paraId="00000024">
      <w:pPr>
        <w:spacing w:line="228" w:lineRule="auto"/>
        <w:ind w:left="2608" w:firstLine="425"/>
        <w:rPr/>
      </w:pPr>
      <w:r w:rsidDel="00000000" w:rsidR="00000000" w:rsidRPr="00000000">
        <w:rPr>
          <w:rtl w:val="0"/>
        </w:rPr>
        <w:t xml:space="preserve">The </w:t>
      </w:r>
      <w:r w:rsidDel="00000000" w:rsidR="00000000" w:rsidRPr="00000000">
        <w:rPr>
          <w:i w:val="1"/>
          <w:rtl w:val="0"/>
        </w:rPr>
        <w:t xml:space="preserve">WBL</w:t>
      </w:r>
      <w:r w:rsidDel="00000000" w:rsidR="00000000" w:rsidRPr="00000000">
        <w:rPr>
          <w:rtl w:val="0"/>
        </w:rPr>
        <w:t xml:space="preserve"> data set consists of data for 190 economies through the period from 1971 to 2023. The data features include two demographic variables (</w:t>
      </w:r>
      <w:r w:rsidDel="00000000" w:rsidR="00000000" w:rsidRPr="00000000">
        <w:rPr>
          <w:i w:val="1"/>
          <w:rtl w:val="0"/>
        </w:rPr>
        <w:t xml:space="preserve">Region</w:t>
      </w:r>
      <w:r w:rsidDel="00000000" w:rsidR="00000000" w:rsidRPr="00000000">
        <w:rPr>
          <w:rtl w:val="0"/>
        </w:rPr>
        <w:t xml:space="preserve"> and </w:t>
      </w:r>
      <w:r w:rsidDel="00000000" w:rsidR="00000000" w:rsidRPr="00000000">
        <w:rPr>
          <w:i w:val="1"/>
          <w:rtl w:val="0"/>
        </w:rPr>
        <w:t xml:space="preserve">Income Group</w:t>
      </w:r>
      <w:r w:rsidDel="00000000" w:rsidR="00000000" w:rsidRPr="00000000">
        <w:rPr>
          <w:rtl w:val="0"/>
        </w:rPr>
        <w:t xml:space="preserve">), as well as 35 binary (Yes / No) questions regarding female equality by the different economies’ laws and 5 numerical variables quantifying both maternal and paternal leave after a child is born. The variables are grouped into 8 categories: </w:t>
      </w:r>
      <w:r w:rsidDel="00000000" w:rsidR="00000000" w:rsidRPr="00000000">
        <w:rPr>
          <w:i w:val="1"/>
          <w:rtl w:val="0"/>
        </w:rPr>
        <w:t xml:space="preserve">mobility</w:t>
      </w:r>
      <w:r w:rsidDel="00000000" w:rsidR="00000000" w:rsidRPr="00000000">
        <w:rPr>
          <w:rtl w:val="0"/>
        </w:rPr>
        <w:t xml:space="preserve">, </w:t>
      </w:r>
      <w:r w:rsidDel="00000000" w:rsidR="00000000" w:rsidRPr="00000000">
        <w:rPr>
          <w:i w:val="1"/>
          <w:rtl w:val="0"/>
        </w:rPr>
        <w:t xml:space="preserve">workplace</w:t>
      </w:r>
      <w:r w:rsidDel="00000000" w:rsidR="00000000" w:rsidRPr="00000000">
        <w:rPr>
          <w:rtl w:val="0"/>
        </w:rPr>
        <w:t xml:space="preserve">, </w:t>
      </w:r>
      <w:r w:rsidDel="00000000" w:rsidR="00000000" w:rsidRPr="00000000">
        <w:rPr>
          <w:i w:val="1"/>
          <w:rtl w:val="0"/>
        </w:rPr>
        <w:t xml:space="preserve">marriage</w:t>
      </w:r>
      <w:r w:rsidDel="00000000" w:rsidR="00000000" w:rsidRPr="00000000">
        <w:rPr>
          <w:rtl w:val="0"/>
        </w:rPr>
        <w:t xml:space="preserve">, </w:t>
      </w:r>
      <w:r w:rsidDel="00000000" w:rsidR="00000000" w:rsidRPr="00000000">
        <w:rPr>
          <w:i w:val="1"/>
          <w:rtl w:val="0"/>
        </w:rPr>
        <w:t xml:space="preserve">parenthood</w:t>
      </w:r>
      <w:r w:rsidDel="00000000" w:rsidR="00000000" w:rsidRPr="00000000">
        <w:rPr>
          <w:rtl w:val="0"/>
        </w:rPr>
        <w:t xml:space="preserve">, </w:t>
      </w:r>
      <w:r w:rsidDel="00000000" w:rsidR="00000000" w:rsidRPr="00000000">
        <w:rPr>
          <w:i w:val="1"/>
          <w:rtl w:val="0"/>
        </w:rPr>
        <w:t xml:space="preserve">entrepreneurship</w:t>
      </w:r>
      <w:r w:rsidDel="00000000" w:rsidR="00000000" w:rsidRPr="00000000">
        <w:rPr>
          <w:rtl w:val="0"/>
        </w:rPr>
        <w:t xml:space="preserve">, </w:t>
      </w:r>
      <w:r w:rsidDel="00000000" w:rsidR="00000000" w:rsidRPr="00000000">
        <w:rPr>
          <w:i w:val="1"/>
          <w:rtl w:val="0"/>
        </w:rPr>
        <w:t xml:space="preserve">assets</w:t>
      </w:r>
      <w:r w:rsidDel="00000000" w:rsidR="00000000" w:rsidRPr="00000000">
        <w:rPr>
          <w:rtl w:val="0"/>
        </w:rPr>
        <w:t xml:space="preserve"> and </w:t>
      </w:r>
      <w:r w:rsidDel="00000000" w:rsidR="00000000" w:rsidRPr="00000000">
        <w:rPr>
          <w:i w:val="1"/>
          <w:rtl w:val="0"/>
        </w:rPr>
        <w:t xml:space="preserve">pension</w:t>
      </w:r>
      <w:r w:rsidDel="00000000" w:rsidR="00000000" w:rsidRPr="00000000">
        <w:rPr>
          <w:rtl w:val="0"/>
        </w:rPr>
        <w:t xml:space="preserve">. Finally, there are aggregated scores for each of these categories, as well as an overall aggregate, the </w:t>
      </w:r>
      <w:r w:rsidDel="00000000" w:rsidR="00000000" w:rsidRPr="00000000">
        <w:rPr>
          <w:i w:val="1"/>
          <w:rtl w:val="0"/>
        </w:rPr>
        <w:t xml:space="preserve">WBL Index</w:t>
      </w:r>
      <w:r w:rsidDel="00000000" w:rsidR="00000000" w:rsidRPr="00000000">
        <w:rPr>
          <w:rtl w:val="0"/>
        </w:rPr>
        <w:t xml:space="preserve">.</w:t>
      </w:r>
    </w:p>
    <w:p w:rsidR="00000000" w:rsidDel="00000000" w:rsidP="00000000" w:rsidRDefault="00000000" w:rsidRPr="00000000" w14:paraId="00000025">
      <w:pPr>
        <w:spacing w:line="228" w:lineRule="auto"/>
        <w:ind w:left="2608" w:firstLine="425"/>
        <w:rPr/>
      </w:pPr>
      <w:r w:rsidDel="00000000" w:rsidR="00000000" w:rsidRPr="00000000">
        <w:rPr>
          <w:rtl w:val="0"/>
        </w:rPr>
      </w:r>
    </w:p>
    <w:p w:rsidR="00000000" w:rsidDel="00000000" w:rsidP="00000000" w:rsidRDefault="00000000" w:rsidRPr="00000000" w14:paraId="00000026">
      <w:pPr>
        <w:spacing w:line="228" w:lineRule="auto"/>
        <w:ind w:left="2610" w:firstLine="0"/>
        <w:rPr/>
      </w:pPr>
      <w:r w:rsidDel="00000000" w:rsidR="00000000" w:rsidRPr="00000000">
        <w:rPr>
          <w:rtl w:val="0"/>
        </w:rPr>
        <w:tab/>
        <w:t xml:space="preserve">The </w:t>
      </w:r>
      <w:r w:rsidDel="00000000" w:rsidR="00000000" w:rsidRPr="00000000">
        <w:rPr>
          <w:i w:val="1"/>
          <w:rtl w:val="0"/>
        </w:rPr>
        <w:t xml:space="preserve">WeData</w:t>
      </w:r>
      <w:r w:rsidDel="00000000" w:rsidR="00000000" w:rsidRPr="00000000">
        <w:rPr>
          <w:rtl w:val="0"/>
        </w:rPr>
        <w:t xml:space="preserve"> data set includes data for 68 economies, gathered from 2014 to 2020, regarding three key positions in entrepreneurship: number of business owners, number of business directors and number of sole proprietors of companies. These data are aggregated by sex, and therefore allow for an analysis of an economy’s female proportion for each of these categories throughout the years. The economies included in </w:t>
      </w:r>
      <w:r w:rsidDel="00000000" w:rsidR="00000000" w:rsidRPr="00000000">
        <w:rPr>
          <w:i w:val="1"/>
          <w:rtl w:val="0"/>
        </w:rPr>
        <w:t xml:space="preserve">WeData </w:t>
      </w:r>
      <w:r w:rsidDel="00000000" w:rsidR="00000000" w:rsidRPr="00000000">
        <w:rPr>
          <w:rtl w:val="0"/>
        </w:rPr>
        <w:t xml:space="preserve">are a subset of the economies in </w:t>
      </w:r>
      <w:r w:rsidDel="00000000" w:rsidR="00000000" w:rsidRPr="00000000">
        <w:rPr>
          <w:i w:val="1"/>
          <w:rtl w:val="0"/>
        </w:rPr>
        <w:t xml:space="preserve">WBL</w:t>
      </w:r>
      <w:r w:rsidDel="00000000" w:rsidR="00000000" w:rsidRPr="00000000">
        <w:rPr>
          <w:rtl w:val="0"/>
        </w:rPr>
        <w:t xml:space="preserve">, and therefore both datasets are not completely compatible, but clusters, regions and income levels may still be evaluated for the </w:t>
      </w:r>
      <w:r w:rsidDel="00000000" w:rsidR="00000000" w:rsidRPr="00000000">
        <w:rPr>
          <w:i w:val="1"/>
          <w:rtl w:val="0"/>
        </w:rPr>
        <w:t xml:space="preserve">WeData</w:t>
      </w:r>
      <w:r w:rsidDel="00000000" w:rsidR="00000000" w:rsidRPr="00000000">
        <w:rPr>
          <w:rtl w:val="0"/>
        </w:rPr>
        <w:t xml:space="preserve"> economies.</w:t>
      </w:r>
    </w:p>
    <w:p w:rsidR="00000000" w:rsidDel="00000000" w:rsidP="00000000" w:rsidRDefault="00000000" w:rsidRPr="00000000" w14:paraId="00000027">
      <w:pPr>
        <w:spacing w:line="228" w:lineRule="auto"/>
        <w:ind w:left="2608" w:firstLine="425"/>
        <w:rPr/>
      </w:pPr>
      <w:r w:rsidDel="00000000" w:rsidR="00000000" w:rsidRPr="00000000">
        <w:rPr>
          <w:rtl w:val="0"/>
        </w:rPr>
      </w:r>
    </w:p>
    <w:p w:rsidR="00000000" w:rsidDel="00000000" w:rsidP="00000000" w:rsidRDefault="00000000" w:rsidRPr="00000000" w14:paraId="00000028">
      <w:pPr>
        <w:spacing w:line="228" w:lineRule="auto"/>
        <w:ind w:left="2608" w:firstLine="0"/>
        <w:rPr>
          <w:b w:val="1"/>
        </w:rPr>
      </w:pPr>
      <w:r w:rsidDel="00000000" w:rsidR="00000000" w:rsidRPr="00000000">
        <w:rPr>
          <w:rtl w:val="0"/>
        </w:rPr>
      </w:r>
    </w:p>
    <w:p w:rsidR="00000000" w:rsidDel="00000000" w:rsidP="00000000" w:rsidRDefault="00000000" w:rsidRPr="00000000" w14:paraId="00000029">
      <w:pPr>
        <w:spacing w:line="228" w:lineRule="auto"/>
        <w:ind w:left="2608" w:firstLine="0"/>
        <w:rPr>
          <w:b w:val="1"/>
        </w:rPr>
      </w:pPr>
      <w:r w:rsidDel="00000000" w:rsidR="00000000" w:rsidRPr="00000000">
        <w:rPr>
          <w:rtl w:val="0"/>
        </w:rPr>
      </w:r>
    </w:p>
    <w:p w:rsidR="00000000" w:rsidDel="00000000" w:rsidP="00000000" w:rsidRDefault="00000000" w:rsidRPr="00000000" w14:paraId="0000002A">
      <w:pPr>
        <w:spacing w:line="228" w:lineRule="auto"/>
        <w:ind w:left="2608" w:firstLine="0"/>
        <w:rPr>
          <w:b w:val="1"/>
        </w:rPr>
      </w:pPr>
      <w:r w:rsidDel="00000000" w:rsidR="00000000" w:rsidRPr="00000000">
        <w:rPr>
          <w:rtl w:val="0"/>
        </w:rPr>
      </w:r>
    </w:p>
    <w:p w:rsidR="00000000" w:rsidDel="00000000" w:rsidP="00000000" w:rsidRDefault="00000000" w:rsidRPr="00000000" w14:paraId="0000002B">
      <w:pPr>
        <w:spacing w:line="228" w:lineRule="auto"/>
        <w:ind w:left="2608" w:firstLine="0"/>
        <w:rPr>
          <w:b w:val="1"/>
        </w:rPr>
      </w:pPr>
      <w:r w:rsidDel="00000000" w:rsidR="00000000" w:rsidRPr="00000000">
        <w:rPr>
          <w:rtl w:val="0"/>
        </w:rPr>
      </w:r>
    </w:p>
    <w:p w:rsidR="00000000" w:rsidDel="00000000" w:rsidP="00000000" w:rsidRDefault="00000000" w:rsidRPr="00000000" w14:paraId="0000002C">
      <w:pPr>
        <w:spacing w:line="228" w:lineRule="auto"/>
        <w:ind w:left="2608" w:firstLine="0"/>
        <w:rPr>
          <w:b w:val="1"/>
        </w:rPr>
      </w:pPr>
      <w:r w:rsidDel="00000000" w:rsidR="00000000" w:rsidRPr="00000000">
        <w:rPr>
          <w:rtl w:val="0"/>
        </w:rPr>
      </w:r>
    </w:p>
    <w:p w:rsidR="00000000" w:rsidDel="00000000" w:rsidP="00000000" w:rsidRDefault="00000000" w:rsidRPr="00000000" w14:paraId="0000002D">
      <w:pPr>
        <w:spacing w:line="228" w:lineRule="auto"/>
        <w:ind w:left="2608" w:firstLine="0"/>
        <w:rPr>
          <w:b w:val="1"/>
        </w:rPr>
      </w:pPr>
      <w:r w:rsidDel="00000000" w:rsidR="00000000" w:rsidRPr="00000000">
        <w:rPr>
          <w:b w:val="1"/>
          <w:rtl w:val="0"/>
        </w:rPr>
        <w:t xml:space="preserve">2.1.2. Data Pre-Processing</w:t>
      </w:r>
    </w:p>
    <w:p w:rsidR="00000000" w:rsidDel="00000000" w:rsidP="00000000" w:rsidRDefault="00000000" w:rsidRPr="00000000" w14:paraId="0000002E">
      <w:pPr>
        <w:spacing w:line="228" w:lineRule="auto"/>
        <w:ind w:left="2608" w:firstLine="0"/>
        <w:rPr/>
      </w:pPr>
      <w:r w:rsidDel="00000000" w:rsidR="00000000" w:rsidRPr="00000000">
        <w:rPr>
          <w:rtl w:val="0"/>
        </w:rPr>
      </w:r>
    </w:p>
    <w:p w:rsidR="00000000" w:rsidDel="00000000" w:rsidP="00000000" w:rsidRDefault="00000000" w:rsidRPr="00000000" w14:paraId="0000002F">
      <w:pPr>
        <w:spacing w:line="228" w:lineRule="auto"/>
        <w:ind w:left="2608" w:firstLine="0"/>
        <w:rPr/>
      </w:pPr>
      <w:r w:rsidDel="00000000" w:rsidR="00000000" w:rsidRPr="00000000">
        <w:rPr>
          <w:rtl w:val="0"/>
        </w:rPr>
        <w:tab/>
        <w:t xml:space="preserve">For our experiments, we removed the data set’s aggregated columns (</w:t>
      </w:r>
      <w:r w:rsidDel="00000000" w:rsidR="00000000" w:rsidRPr="00000000">
        <w:rPr>
          <w:i w:val="1"/>
          <w:rtl w:val="0"/>
        </w:rPr>
        <w:t xml:space="preserve">WBL Index</w:t>
      </w:r>
      <w:r w:rsidDel="00000000" w:rsidR="00000000" w:rsidRPr="00000000">
        <w:rPr>
          <w:rtl w:val="0"/>
        </w:rPr>
        <w:t xml:space="preserve">, </w:t>
      </w:r>
      <w:r w:rsidDel="00000000" w:rsidR="00000000" w:rsidRPr="00000000">
        <w:rPr>
          <w:i w:val="1"/>
          <w:rtl w:val="0"/>
        </w:rPr>
        <w:t xml:space="preserve">Mobility</w:t>
      </w:r>
      <w:r w:rsidDel="00000000" w:rsidR="00000000" w:rsidRPr="00000000">
        <w:rPr>
          <w:rtl w:val="0"/>
        </w:rPr>
        <w:t xml:space="preserve">, </w:t>
      </w:r>
      <w:r w:rsidDel="00000000" w:rsidR="00000000" w:rsidRPr="00000000">
        <w:rPr>
          <w:i w:val="1"/>
          <w:rtl w:val="0"/>
        </w:rPr>
        <w:t xml:space="preserve">Workplace</w:t>
      </w:r>
      <w:r w:rsidDel="00000000" w:rsidR="00000000" w:rsidRPr="00000000">
        <w:rPr>
          <w:rtl w:val="0"/>
        </w:rPr>
        <w:t xml:space="preserve">, </w:t>
      </w:r>
      <w:r w:rsidDel="00000000" w:rsidR="00000000" w:rsidRPr="00000000">
        <w:rPr>
          <w:i w:val="1"/>
          <w:rtl w:val="0"/>
        </w:rPr>
        <w:t xml:space="preserve">Pay</w:t>
      </w:r>
      <w:r w:rsidDel="00000000" w:rsidR="00000000" w:rsidRPr="00000000">
        <w:rPr>
          <w:rtl w:val="0"/>
        </w:rPr>
        <w:t xml:space="preserve">, </w:t>
      </w:r>
      <w:r w:rsidDel="00000000" w:rsidR="00000000" w:rsidRPr="00000000">
        <w:rPr>
          <w:i w:val="1"/>
          <w:rtl w:val="0"/>
        </w:rPr>
        <w:t xml:space="preserve">Marriage</w:t>
      </w:r>
      <w:r w:rsidDel="00000000" w:rsidR="00000000" w:rsidRPr="00000000">
        <w:rPr>
          <w:rtl w:val="0"/>
        </w:rPr>
        <w:t xml:space="preserve">, </w:t>
      </w:r>
      <w:r w:rsidDel="00000000" w:rsidR="00000000" w:rsidRPr="00000000">
        <w:rPr>
          <w:i w:val="1"/>
          <w:rtl w:val="0"/>
        </w:rPr>
        <w:t xml:space="preserve">Parenthood</w:t>
      </w:r>
      <w:r w:rsidDel="00000000" w:rsidR="00000000" w:rsidRPr="00000000">
        <w:rPr>
          <w:rtl w:val="0"/>
        </w:rPr>
        <w:t xml:space="preserve">, </w:t>
      </w:r>
      <w:r w:rsidDel="00000000" w:rsidR="00000000" w:rsidRPr="00000000">
        <w:rPr>
          <w:i w:val="1"/>
          <w:rtl w:val="0"/>
        </w:rPr>
        <w:t xml:space="preserve">Entrepreneurship</w:t>
      </w:r>
      <w:r w:rsidDel="00000000" w:rsidR="00000000" w:rsidRPr="00000000">
        <w:rPr>
          <w:rtl w:val="0"/>
        </w:rPr>
        <w:t xml:space="preserve">, </w:t>
      </w:r>
      <w:r w:rsidDel="00000000" w:rsidR="00000000" w:rsidRPr="00000000">
        <w:rPr>
          <w:i w:val="1"/>
          <w:rtl w:val="0"/>
        </w:rPr>
        <w:t xml:space="preserve">Assets</w:t>
      </w:r>
      <w:r w:rsidDel="00000000" w:rsidR="00000000" w:rsidRPr="00000000">
        <w:rPr>
          <w:rtl w:val="0"/>
        </w:rPr>
        <w:t xml:space="preserve"> and </w:t>
      </w:r>
      <w:r w:rsidDel="00000000" w:rsidR="00000000" w:rsidRPr="00000000">
        <w:rPr>
          <w:i w:val="1"/>
          <w:rtl w:val="0"/>
        </w:rPr>
        <w:t xml:space="preserve">Pension</w:t>
      </w:r>
      <w:r w:rsidDel="00000000" w:rsidR="00000000" w:rsidRPr="00000000">
        <w:rPr>
          <w:rtl w:val="0"/>
        </w:rPr>
        <w:t xml:space="preserve">), the identifier columns (</w:t>
      </w:r>
      <w:r w:rsidDel="00000000" w:rsidR="00000000" w:rsidRPr="00000000">
        <w:rPr>
          <w:i w:val="1"/>
          <w:rtl w:val="0"/>
        </w:rPr>
        <w:t xml:space="preserve">Economy</w:t>
      </w:r>
      <w:r w:rsidDel="00000000" w:rsidR="00000000" w:rsidRPr="00000000">
        <w:rPr>
          <w:rtl w:val="0"/>
        </w:rPr>
        <w:t xml:space="preserve">, </w:t>
      </w:r>
      <w:r w:rsidDel="00000000" w:rsidR="00000000" w:rsidRPr="00000000">
        <w:rPr>
          <w:i w:val="1"/>
          <w:rtl w:val="0"/>
        </w:rPr>
        <w:t xml:space="preserve">Economy Code</w:t>
      </w:r>
      <w:r w:rsidDel="00000000" w:rsidR="00000000" w:rsidRPr="00000000">
        <w:rPr>
          <w:rtl w:val="0"/>
        </w:rPr>
        <w:t xml:space="preserve">, </w:t>
      </w:r>
      <w:r w:rsidDel="00000000" w:rsidR="00000000" w:rsidRPr="00000000">
        <w:rPr>
          <w:i w:val="1"/>
          <w:rtl w:val="0"/>
        </w:rPr>
        <w:t xml:space="preserve">ISO Code</w:t>
      </w:r>
      <w:r w:rsidDel="00000000" w:rsidR="00000000" w:rsidRPr="00000000">
        <w:rPr>
          <w:rtl w:val="0"/>
        </w:rPr>
        <w:t xml:space="preserve">), as well as </w:t>
      </w:r>
      <w:r w:rsidDel="00000000" w:rsidR="00000000" w:rsidRPr="00000000">
        <w:rPr>
          <w:i w:val="1"/>
          <w:rtl w:val="0"/>
        </w:rPr>
        <w:t xml:space="preserve">Year</w:t>
      </w:r>
      <w:r w:rsidDel="00000000" w:rsidR="00000000" w:rsidRPr="00000000">
        <w:rPr>
          <w:rtl w:val="0"/>
        </w:rPr>
        <w:t xml:space="preserve"> and </w:t>
      </w:r>
      <w:r w:rsidDel="00000000" w:rsidR="00000000" w:rsidRPr="00000000">
        <w:rPr>
          <w:i w:val="1"/>
          <w:rtl w:val="0"/>
        </w:rPr>
        <w:t xml:space="preserve">Region</w:t>
      </w:r>
      <w:r w:rsidDel="00000000" w:rsidR="00000000" w:rsidRPr="00000000">
        <w:rPr>
          <w:rtl w:val="0"/>
        </w:rPr>
        <w:t xml:space="preserve">, in order to keep only legal data. </w:t>
      </w:r>
      <w:r w:rsidDel="00000000" w:rsidR="00000000" w:rsidRPr="00000000">
        <w:rPr>
          <w:i w:val="1"/>
          <w:rtl w:val="0"/>
        </w:rPr>
        <w:t xml:space="preserve">Income</w:t>
      </w:r>
      <w:r w:rsidDel="00000000" w:rsidR="00000000" w:rsidRPr="00000000">
        <w:rPr>
          <w:rtl w:val="0"/>
        </w:rPr>
        <w:t xml:space="preserve"> was chosen to be our target variable, and the legal columns —all being </w:t>
      </w:r>
      <w:r w:rsidDel="00000000" w:rsidR="00000000" w:rsidRPr="00000000">
        <w:rPr>
          <w:i w:val="1"/>
          <w:rtl w:val="0"/>
        </w:rPr>
        <w:t xml:space="preserve">No</w:t>
      </w:r>
      <w:r w:rsidDel="00000000" w:rsidR="00000000" w:rsidRPr="00000000">
        <w:rPr>
          <w:rtl w:val="0"/>
        </w:rPr>
        <w:t xml:space="preserve">-</w:t>
      </w:r>
      <w:r w:rsidDel="00000000" w:rsidR="00000000" w:rsidRPr="00000000">
        <w:rPr>
          <w:i w:val="1"/>
          <w:rtl w:val="0"/>
        </w:rPr>
        <w:t xml:space="preserve">Yes</w:t>
      </w:r>
      <w:r w:rsidDel="00000000" w:rsidR="00000000" w:rsidRPr="00000000">
        <w:rPr>
          <w:rtl w:val="0"/>
        </w:rPr>
        <w:t xml:space="preserve"> questions— were re-encoded to </w:t>
      </w:r>
      <w:r w:rsidDel="00000000" w:rsidR="00000000" w:rsidRPr="00000000">
        <w:rPr>
          <w:i w:val="1"/>
          <w:rtl w:val="0"/>
        </w:rPr>
        <w:t xml:space="preserve">0-1</w:t>
      </w:r>
      <w:r w:rsidDel="00000000" w:rsidR="00000000" w:rsidRPr="00000000">
        <w:rPr>
          <w:rtl w:val="0"/>
        </w:rPr>
        <w:t xml:space="preserve">, respectively.</w:t>
      </w:r>
    </w:p>
    <w:p w:rsidR="00000000" w:rsidDel="00000000" w:rsidP="00000000" w:rsidRDefault="00000000" w:rsidRPr="00000000" w14:paraId="00000030">
      <w:pPr>
        <w:spacing w:line="228" w:lineRule="auto"/>
        <w:ind w:left="2608" w:firstLine="0"/>
        <w:rPr/>
      </w:pPr>
      <w:r w:rsidDel="00000000" w:rsidR="00000000" w:rsidRPr="00000000">
        <w:rPr>
          <w:rtl w:val="0"/>
        </w:rPr>
      </w:r>
    </w:p>
    <w:p w:rsidR="00000000" w:rsidDel="00000000" w:rsidP="00000000" w:rsidRDefault="00000000" w:rsidRPr="00000000" w14:paraId="00000031">
      <w:pPr>
        <w:spacing w:line="228" w:lineRule="auto"/>
        <w:ind w:left="2608" w:firstLine="0"/>
        <w:rPr>
          <w:b w:val="1"/>
        </w:rPr>
      </w:pPr>
      <w:r w:rsidDel="00000000" w:rsidR="00000000" w:rsidRPr="00000000">
        <w:rPr>
          <w:b w:val="1"/>
          <w:rtl w:val="0"/>
        </w:rPr>
        <w:t xml:space="preserve">2.2. Experiments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right="0"/>
        <w:jc w:val="both"/>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pPr>
      <w:r w:rsidDel="00000000" w:rsidR="00000000" w:rsidRPr="00000000">
        <w:rPr>
          <w:rtl w:val="0"/>
        </w:rPr>
        <w:t xml:space="preserve">Two separate experiments were performed on the data. The first experiment consisted of a classification task with </w:t>
      </w:r>
      <w:r w:rsidDel="00000000" w:rsidR="00000000" w:rsidRPr="00000000">
        <w:rPr>
          <w:i w:val="1"/>
          <w:rtl w:val="0"/>
        </w:rPr>
        <w:t xml:space="preserve">Income</w:t>
      </w:r>
      <w:r w:rsidDel="00000000" w:rsidR="00000000" w:rsidRPr="00000000">
        <w:rPr>
          <w:rtl w:val="0"/>
        </w:rPr>
        <w:t xml:space="preserve"> as target and all of the legal columns as predictors, in order to detect the impact of the different limitations on women’s rights over the income of economies. The second experiment consisted of applying clustering techniques to the raw legal columns, to analyze the similarities and differences across groups. Both experiments’ descriptions follow in the subsequent sections.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b w:val="1"/>
        </w:rPr>
      </w:pPr>
      <w:r w:rsidDel="00000000" w:rsidR="00000000" w:rsidRPr="00000000">
        <w:rPr>
          <w:b w:val="1"/>
          <w:rtl w:val="0"/>
        </w:rPr>
        <w:t xml:space="preserve">2.2.1. Income Prediction with Random Forest Model</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271.9999999999999"/>
        <w:jc w:val="both"/>
        <w:rPr/>
      </w:pPr>
      <w:r w:rsidDel="00000000" w:rsidR="00000000" w:rsidRPr="00000000">
        <w:rPr>
          <w:rtl w:val="0"/>
        </w:rPr>
        <w:t xml:space="preserve">A classifier was fitted on the legal data (0-1 encoded) as predictors and </w:t>
      </w:r>
      <w:r w:rsidDel="00000000" w:rsidR="00000000" w:rsidRPr="00000000">
        <w:rPr>
          <w:i w:val="1"/>
          <w:rtl w:val="0"/>
        </w:rPr>
        <w:t xml:space="preserve">Income</w:t>
      </w:r>
      <w:r w:rsidDel="00000000" w:rsidR="00000000" w:rsidRPr="00000000">
        <w:rPr>
          <w:rtl w:val="0"/>
        </w:rPr>
        <w:t xml:space="preserve"> set as target. For this experiment, the target was binarized, with </w:t>
      </w:r>
      <w:r w:rsidDel="00000000" w:rsidR="00000000" w:rsidRPr="00000000">
        <w:rPr>
          <w:i w:val="1"/>
          <w:rtl w:val="0"/>
        </w:rPr>
        <w:t xml:space="preserve">Low </w:t>
      </w:r>
      <w:r w:rsidDel="00000000" w:rsidR="00000000" w:rsidRPr="00000000">
        <w:rPr>
          <w:rtl w:val="0"/>
        </w:rPr>
        <w:t xml:space="preserve">and </w:t>
      </w:r>
      <w:r w:rsidDel="00000000" w:rsidR="00000000" w:rsidRPr="00000000">
        <w:rPr>
          <w:i w:val="1"/>
          <w:rtl w:val="0"/>
        </w:rPr>
        <w:t xml:space="preserve">Lower Middle </w:t>
      </w:r>
      <w:r w:rsidDel="00000000" w:rsidR="00000000" w:rsidRPr="00000000">
        <w:rPr>
          <w:rtl w:val="0"/>
        </w:rPr>
        <w:t xml:space="preserve">re-encoded to </w:t>
      </w:r>
      <w:r w:rsidDel="00000000" w:rsidR="00000000" w:rsidRPr="00000000">
        <w:rPr>
          <w:i w:val="1"/>
          <w:rtl w:val="0"/>
        </w:rPr>
        <w:t xml:space="preserve">0</w:t>
      </w:r>
      <w:r w:rsidDel="00000000" w:rsidR="00000000" w:rsidRPr="00000000">
        <w:rPr>
          <w:rtl w:val="0"/>
        </w:rPr>
        <w:t xml:space="preserve"> and </w:t>
      </w:r>
      <w:r w:rsidDel="00000000" w:rsidR="00000000" w:rsidRPr="00000000">
        <w:rPr>
          <w:i w:val="1"/>
          <w:rtl w:val="0"/>
        </w:rPr>
        <w:t xml:space="preserve">Upper Middle </w:t>
      </w:r>
      <w:r w:rsidDel="00000000" w:rsidR="00000000" w:rsidRPr="00000000">
        <w:rPr>
          <w:rtl w:val="0"/>
        </w:rPr>
        <w:t xml:space="preserve">and </w:t>
      </w:r>
      <w:r w:rsidDel="00000000" w:rsidR="00000000" w:rsidRPr="00000000">
        <w:rPr>
          <w:i w:val="1"/>
          <w:rtl w:val="0"/>
        </w:rPr>
        <w:t xml:space="preserve">High </w:t>
      </w:r>
      <w:r w:rsidDel="00000000" w:rsidR="00000000" w:rsidRPr="00000000">
        <w:rPr>
          <w:rtl w:val="0"/>
        </w:rPr>
        <w:t xml:space="preserve">re-encoded to </w:t>
      </w:r>
      <w:r w:rsidDel="00000000" w:rsidR="00000000" w:rsidRPr="00000000">
        <w:rPr>
          <w:i w:val="1"/>
          <w:rtl w:val="0"/>
        </w:rPr>
        <w:t xml:space="preserve">1</w:t>
      </w:r>
      <w:r w:rsidDel="00000000" w:rsidR="00000000" w:rsidRPr="00000000">
        <w:rPr>
          <w:rtl w:val="0"/>
        </w:rPr>
        <w:t xml:space="preserve">. A random forest classification model was fit to the data due to random forests yielding the best predictive performance out of several tried-out models, as well as it providing an interpretability layer through the fitted model’s Gini feature importances.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271.9999999999999"/>
        <w:jc w:val="both"/>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271.9999999999999"/>
        <w:jc w:val="both"/>
        <w:rPr/>
      </w:pPr>
      <w:r w:rsidDel="00000000" w:rsidR="00000000" w:rsidRPr="00000000">
        <w:rPr>
          <w:rtl w:val="0"/>
        </w:rPr>
        <w:t xml:space="preserve">In order to prevent overfitting the model, 10-fold cross-validation was  performed, resulting in a mean accuracy of 70.4% and standard deviation of 9.7%. Finally, the variables were grouped by their </w:t>
      </w:r>
      <w:r w:rsidDel="00000000" w:rsidR="00000000" w:rsidRPr="00000000">
        <w:rPr>
          <w:i w:val="1"/>
          <w:rtl w:val="0"/>
        </w:rPr>
        <w:t xml:space="preserve">WBL</w:t>
      </w:r>
      <w:r w:rsidDel="00000000" w:rsidR="00000000" w:rsidRPr="00000000">
        <w:rPr>
          <w:rtl w:val="0"/>
        </w:rPr>
        <w:t xml:space="preserve"> assigned category (</w:t>
      </w:r>
      <w:r w:rsidDel="00000000" w:rsidR="00000000" w:rsidRPr="00000000">
        <w:rPr>
          <w:i w:val="1"/>
          <w:rtl w:val="0"/>
        </w:rPr>
        <w:t xml:space="preserve">Mobility</w:t>
      </w:r>
      <w:r w:rsidDel="00000000" w:rsidR="00000000" w:rsidRPr="00000000">
        <w:rPr>
          <w:rtl w:val="0"/>
        </w:rPr>
        <w:t xml:space="preserve">, </w:t>
      </w:r>
      <w:r w:rsidDel="00000000" w:rsidR="00000000" w:rsidRPr="00000000">
        <w:rPr>
          <w:i w:val="1"/>
          <w:rtl w:val="0"/>
        </w:rPr>
        <w:t xml:space="preserve">Workplace</w:t>
      </w:r>
      <w:r w:rsidDel="00000000" w:rsidR="00000000" w:rsidRPr="00000000">
        <w:rPr>
          <w:rtl w:val="0"/>
        </w:rPr>
        <w:t xml:space="preserve">, </w:t>
      </w:r>
      <w:r w:rsidDel="00000000" w:rsidR="00000000" w:rsidRPr="00000000">
        <w:rPr>
          <w:i w:val="1"/>
          <w:rtl w:val="0"/>
        </w:rPr>
        <w:t xml:space="preserve">Pay</w:t>
      </w:r>
      <w:r w:rsidDel="00000000" w:rsidR="00000000" w:rsidRPr="00000000">
        <w:rPr>
          <w:rtl w:val="0"/>
        </w:rPr>
        <w:t xml:space="preserve">, </w:t>
      </w:r>
      <w:r w:rsidDel="00000000" w:rsidR="00000000" w:rsidRPr="00000000">
        <w:rPr>
          <w:i w:val="1"/>
          <w:rtl w:val="0"/>
        </w:rPr>
        <w:t xml:space="preserve">Marriage</w:t>
      </w:r>
      <w:r w:rsidDel="00000000" w:rsidR="00000000" w:rsidRPr="00000000">
        <w:rPr>
          <w:rtl w:val="0"/>
        </w:rPr>
        <w:t xml:space="preserve">, </w:t>
      </w:r>
      <w:r w:rsidDel="00000000" w:rsidR="00000000" w:rsidRPr="00000000">
        <w:rPr>
          <w:i w:val="1"/>
          <w:rtl w:val="0"/>
        </w:rPr>
        <w:t xml:space="preserve">Parenthood</w:t>
      </w:r>
      <w:r w:rsidDel="00000000" w:rsidR="00000000" w:rsidRPr="00000000">
        <w:rPr>
          <w:rtl w:val="0"/>
        </w:rPr>
        <w:t xml:space="preserve">, </w:t>
      </w:r>
      <w:r w:rsidDel="00000000" w:rsidR="00000000" w:rsidRPr="00000000">
        <w:rPr>
          <w:i w:val="1"/>
          <w:rtl w:val="0"/>
        </w:rPr>
        <w:t xml:space="preserve">Entrepreneurship</w:t>
      </w:r>
      <w:r w:rsidDel="00000000" w:rsidR="00000000" w:rsidRPr="00000000">
        <w:rPr>
          <w:rtl w:val="0"/>
        </w:rPr>
        <w:t xml:space="preserve">, </w:t>
      </w:r>
      <w:r w:rsidDel="00000000" w:rsidR="00000000" w:rsidRPr="00000000">
        <w:rPr>
          <w:i w:val="1"/>
          <w:rtl w:val="0"/>
        </w:rPr>
        <w:t xml:space="preserve">Assets</w:t>
      </w:r>
      <w:r w:rsidDel="00000000" w:rsidR="00000000" w:rsidRPr="00000000">
        <w:rPr>
          <w:rtl w:val="0"/>
        </w:rPr>
        <w:t xml:space="preserve"> and </w:t>
      </w:r>
      <w:r w:rsidDel="00000000" w:rsidR="00000000" w:rsidRPr="00000000">
        <w:rPr>
          <w:i w:val="1"/>
          <w:rtl w:val="0"/>
        </w:rPr>
        <w:t xml:space="preserve">Pension</w:t>
      </w:r>
      <w:r w:rsidDel="00000000" w:rsidR="00000000" w:rsidRPr="00000000">
        <w:rPr>
          <w:rtl w:val="0"/>
        </w:rPr>
        <w:t xml:space="preserve">) and the sum of the Gini importances for each group’s predictors were averaged-out across the cross-validation folds, to detect the most relevant gender-related legal factors in predicting an economy’s income level.</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b w:val="1"/>
        </w:rPr>
      </w:pPr>
      <w:r w:rsidDel="00000000" w:rsidR="00000000" w:rsidRPr="00000000">
        <w:rPr>
          <w:b w:val="1"/>
          <w:rtl w:val="0"/>
        </w:rPr>
        <w:t xml:space="preserve">2.2.2. Data Clustering</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271.9999999999999"/>
        <w:jc w:val="both"/>
        <w:rPr/>
      </w:pPr>
      <w:r w:rsidDel="00000000" w:rsidR="00000000" w:rsidRPr="00000000">
        <w:rPr>
          <w:rtl w:val="0"/>
        </w:rPr>
        <w:t xml:space="preserve">For the second experiment, the data set was aggregated by </w:t>
      </w:r>
      <w:r w:rsidDel="00000000" w:rsidR="00000000" w:rsidRPr="00000000">
        <w:rPr>
          <w:i w:val="1"/>
          <w:rtl w:val="0"/>
        </w:rPr>
        <w:t xml:space="preserve">Economy</w:t>
      </w:r>
      <w:r w:rsidDel="00000000" w:rsidR="00000000" w:rsidRPr="00000000">
        <w:rPr>
          <w:rtl w:val="0"/>
        </w:rPr>
        <w:t xml:space="preserve"> across the recorded years (1971--2023). Afterwards, the data dimensions were reduced by applying an </w:t>
      </w:r>
      <w:r w:rsidDel="00000000" w:rsidR="00000000" w:rsidRPr="00000000">
        <w:rPr>
          <w:rtl w:val="0"/>
        </w:rPr>
        <w:t xml:space="preserve">MCA</w:t>
      </w:r>
      <w:r w:rsidDel="00000000" w:rsidR="00000000" w:rsidRPr="00000000">
        <w:rPr>
          <w:rtl w:val="0"/>
        </w:rPr>
        <w:t xml:space="preserve"> transformation (Greenacre 2017). Finally, the </w:t>
      </w:r>
      <w:r w:rsidDel="00000000" w:rsidR="00000000" w:rsidRPr="00000000">
        <w:rPr>
          <w:i w:val="1"/>
          <w:rtl w:val="0"/>
        </w:rPr>
        <w:t xml:space="preserve">K-Means </w:t>
      </w:r>
      <w:r w:rsidDel="00000000" w:rsidR="00000000" w:rsidRPr="00000000">
        <w:rPr>
          <w:rtl w:val="0"/>
        </w:rPr>
        <w:t xml:space="preserve">algorithm was tested using </w:t>
      </w:r>
      <w:r w:rsidDel="00000000" w:rsidR="00000000" w:rsidRPr="00000000">
        <w:rPr>
          <w:i w:val="1"/>
          <w:rtl w:val="0"/>
        </w:rPr>
        <w:t xml:space="preserve">K</w:t>
      </w:r>
      <w:r w:rsidDel="00000000" w:rsidR="00000000" w:rsidRPr="00000000">
        <w:rPr>
          <w:rtl w:val="0"/>
        </w:rPr>
        <w:t xml:space="preserve"> values ranging from 2 to 8, in order to find the optimal number of clusters. The inertia elbow point (</w:t>
      </w:r>
      <w:r w:rsidDel="00000000" w:rsidR="00000000" w:rsidRPr="00000000">
        <w:rPr>
          <w:sz w:val="18"/>
          <w:szCs w:val="18"/>
          <w:rtl w:val="0"/>
        </w:rPr>
        <w:t xml:space="preserve">Syakur et al. 2018</w:t>
      </w:r>
      <w:r w:rsidDel="00000000" w:rsidR="00000000" w:rsidRPr="00000000">
        <w:rPr>
          <w:rtl w:val="0"/>
        </w:rPr>
        <w:t xml:space="preserve">) was graphically determined, and the Silhouette score (</w:t>
      </w:r>
      <w:r w:rsidDel="00000000" w:rsidR="00000000" w:rsidRPr="00000000">
        <w:rPr>
          <w:sz w:val="18"/>
          <w:szCs w:val="18"/>
          <w:rtl w:val="0"/>
        </w:rPr>
        <w:t xml:space="preserve">Shahapure et al. 2020</w:t>
      </w:r>
      <w:r w:rsidDel="00000000" w:rsidR="00000000" w:rsidRPr="00000000">
        <w:rPr>
          <w:rtl w:val="0"/>
        </w:rPr>
        <w:t xml:space="preserve">) was calculated for each </w:t>
      </w:r>
      <w:r w:rsidDel="00000000" w:rsidR="00000000" w:rsidRPr="00000000">
        <w:rPr>
          <w:i w:val="1"/>
          <w:rtl w:val="0"/>
        </w:rPr>
        <w:t xml:space="preserve">K</w:t>
      </w:r>
      <w:r w:rsidDel="00000000" w:rsidR="00000000" w:rsidRPr="00000000">
        <w:rPr>
          <w:rtl w:val="0"/>
        </w:rPr>
        <w:t xml:space="preserve">. Additionally, these clusters were compared with grouping the economies by </w:t>
      </w:r>
      <w:r w:rsidDel="00000000" w:rsidR="00000000" w:rsidRPr="00000000">
        <w:rPr>
          <w:i w:val="1"/>
          <w:rtl w:val="0"/>
        </w:rPr>
        <w:t xml:space="preserve">Income</w:t>
      </w:r>
      <w:r w:rsidDel="00000000" w:rsidR="00000000" w:rsidRPr="00000000">
        <w:rPr>
          <w:rtl w:val="0"/>
        </w:rPr>
        <w:t xml:space="preserve"> and </w:t>
      </w:r>
      <w:r w:rsidDel="00000000" w:rsidR="00000000" w:rsidRPr="00000000">
        <w:rPr>
          <w:i w:val="1"/>
          <w:rtl w:val="0"/>
        </w:rPr>
        <w:t xml:space="preserve">Region</w:t>
      </w:r>
      <w:r w:rsidDel="00000000" w:rsidR="00000000" w:rsidRPr="00000000">
        <w:rPr>
          <w:rtl w:val="0"/>
        </w:rPr>
        <w:t xml:space="preserve">. To improve the statistical significance of the experiment, the clusters were randomly generated 100 times for each </w:t>
      </w:r>
      <w:r w:rsidDel="00000000" w:rsidR="00000000" w:rsidRPr="00000000">
        <w:rPr>
          <w:i w:val="1"/>
          <w:rtl w:val="0"/>
        </w:rPr>
        <w:t xml:space="preserve">K</w:t>
      </w:r>
      <w:r w:rsidDel="00000000" w:rsidR="00000000" w:rsidRPr="00000000">
        <w:rPr>
          <w:rtl w:val="0"/>
        </w:rPr>
        <w:t xml:space="preserve">, and then averaged out.</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425"/>
        <w:jc w:val="both"/>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271.9999999999999"/>
        <w:jc w:val="both"/>
        <w:rPr/>
      </w:pPr>
      <w:r w:rsidDel="00000000" w:rsidR="00000000" w:rsidRPr="00000000">
        <w:rPr>
          <w:rtl w:val="0"/>
        </w:rPr>
        <w:t xml:space="preserve">The generated cluster labels were then used to perform an exploratory analysis of both </w:t>
      </w:r>
      <w:r w:rsidDel="00000000" w:rsidR="00000000" w:rsidRPr="00000000">
        <w:rPr>
          <w:i w:val="1"/>
          <w:rtl w:val="0"/>
        </w:rPr>
        <w:t xml:space="preserve">WBL</w:t>
      </w:r>
      <w:r w:rsidDel="00000000" w:rsidR="00000000" w:rsidRPr="00000000">
        <w:rPr>
          <w:rtl w:val="0"/>
        </w:rPr>
        <w:t xml:space="preserve"> and the </w:t>
      </w:r>
      <w:r w:rsidDel="00000000" w:rsidR="00000000" w:rsidRPr="00000000">
        <w:rPr>
          <w:i w:val="1"/>
          <w:rtl w:val="0"/>
        </w:rPr>
        <w:t xml:space="preserve">WeData</w:t>
      </w:r>
      <w:r w:rsidDel="00000000" w:rsidR="00000000" w:rsidRPr="00000000">
        <w:rPr>
          <w:rtl w:val="0"/>
        </w:rPr>
        <w:t xml:space="preserve">. Specifically, the clusters’ </w:t>
      </w:r>
      <w:r w:rsidDel="00000000" w:rsidR="00000000" w:rsidRPr="00000000">
        <w:rPr>
          <w:i w:val="1"/>
          <w:rtl w:val="0"/>
        </w:rPr>
        <w:t xml:space="preserve">WBL Index</w:t>
      </w:r>
      <w:r w:rsidDel="00000000" w:rsidR="00000000" w:rsidRPr="00000000">
        <w:rPr>
          <w:rtl w:val="0"/>
        </w:rPr>
        <w:t xml:space="preserve">, as well as the number of business owners, directors and sole proprietors were plotted across the timelapse of the recorded data.</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425"/>
        <w:jc w:val="both"/>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425"/>
        <w:jc w:val="both"/>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425"/>
        <w:jc w:val="both"/>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425"/>
        <w:jc w:val="both"/>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3. Results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b w:val="1"/>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pPr>
      <w:r w:rsidDel="00000000" w:rsidR="00000000" w:rsidRPr="00000000">
        <w:rPr>
          <w:b w:val="1"/>
          <w:rtl w:val="0"/>
        </w:rPr>
        <w:tab/>
      </w:r>
      <w:r w:rsidDel="00000000" w:rsidR="00000000" w:rsidRPr="00000000">
        <w:rPr>
          <w:rtl w:val="0"/>
        </w:rPr>
        <w:t xml:space="preserve">Having described the setting for both experiments, this section presents our findings in the same order as the previous one, by discussing the predictive model first and the data clusters afterwards.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b w:val="1"/>
        </w:rPr>
      </w:pPr>
      <w:r w:rsidDel="00000000" w:rsidR="00000000" w:rsidRPr="00000000">
        <w:rPr>
          <w:b w:val="1"/>
          <w:rtl w:val="0"/>
        </w:rPr>
        <w:t xml:space="preserve">3.1. Income Prediction with Random Forest Model</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pPr>
      <w:r w:rsidDel="00000000" w:rsidR="00000000" w:rsidRPr="00000000">
        <w:rPr>
          <w:rtl w:val="0"/>
        </w:rPr>
        <w:tab/>
        <w:t xml:space="preserve">The Gini importances for the fitted random forest model indicate the most relevant features in predicting an Economy’s </w:t>
      </w:r>
      <w:r w:rsidDel="00000000" w:rsidR="00000000" w:rsidRPr="00000000">
        <w:rPr>
          <w:i w:val="1"/>
          <w:rtl w:val="0"/>
        </w:rPr>
        <w:t xml:space="preserve">Income</w:t>
      </w:r>
      <w:r w:rsidDel="00000000" w:rsidR="00000000" w:rsidRPr="00000000">
        <w:rPr>
          <w:rtl w:val="0"/>
        </w:rPr>
        <w:t xml:space="preserve"> level. Figure 1 shows the sum of the Gini importances for each variable-group, with respect to the fitted random forest model. As may be seen, legislations regarding parenthood are by far the most important predictor for </w:t>
      </w:r>
      <w:r w:rsidDel="00000000" w:rsidR="00000000" w:rsidRPr="00000000">
        <w:rPr>
          <w:i w:val="1"/>
          <w:rtl w:val="0"/>
        </w:rPr>
        <w:t xml:space="preserve">Income</w:t>
      </w:r>
      <w:r w:rsidDel="00000000" w:rsidR="00000000" w:rsidRPr="00000000">
        <w:rPr>
          <w:rtl w:val="0"/>
        </w:rPr>
        <w:t xml:space="preserve">, accounting for almost 30% of the predictions, followed by women’s conditions to own assets (roughly 15%) and the different countries’ marriage laws (14%). Interestingly, legislation having to do with equality in entrepreneurship do not account for a big part of the prediction rule.</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pPr>
      <w:r w:rsidDel="00000000" w:rsidR="00000000" w:rsidRPr="00000000">
        <w:rPr/>
        <w:drawing>
          <wp:inline distB="114300" distT="114300" distL="114300" distR="114300">
            <wp:extent cx="4957763" cy="2424200"/>
            <wp:effectExtent b="0" l="0" r="0" t="0"/>
            <wp:docPr id="12"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4957763" cy="2424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center"/>
        <w:rPr/>
      </w:pPr>
      <w:r w:rsidDel="00000000" w:rsidR="00000000" w:rsidRPr="00000000">
        <w:rPr>
          <w:b w:val="1"/>
          <w:rtl w:val="0"/>
        </w:rPr>
        <w:t xml:space="preserve">Figure 1.</w:t>
      </w:r>
      <w:r w:rsidDel="00000000" w:rsidR="00000000" w:rsidRPr="00000000">
        <w:rPr>
          <w:rtl w:val="0"/>
        </w:rPr>
        <w:t xml:space="preserve"> Gini importances for the different variable-groups in predicting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center"/>
        <w:rPr/>
      </w:pPr>
      <w:r w:rsidDel="00000000" w:rsidR="00000000" w:rsidRPr="00000000">
        <w:rPr>
          <w:rtl w:val="0"/>
        </w:rPr>
        <w:t xml:space="preserve">an economy’s income level.</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425"/>
        <w:jc w:val="both"/>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b w:val="1"/>
        </w:rPr>
      </w:pPr>
      <w:r w:rsidDel="00000000" w:rsidR="00000000" w:rsidRPr="00000000">
        <w:rPr>
          <w:b w:val="1"/>
          <w:rtl w:val="0"/>
        </w:rPr>
        <w:t xml:space="preserve">3.2. Data Clustering</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pPr>
      <w:r w:rsidDel="00000000" w:rsidR="00000000" w:rsidRPr="00000000">
        <w:rPr>
          <w:rtl w:val="0"/>
        </w:rPr>
        <w:tab/>
        <w:t xml:space="preserve">Our second experiment consisted of analyzing the </w:t>
      </w:r>
      <w:r w:rsidDel="00000000" w:rsidR="00000000" w:rsidRPr="00000000">
        <w:rPr>
          <w:i w:val="1"/>
          <w:rtl w:val="0"/>
        </w:rPr>
        <w:t xml:space="preserve">WBL Index</w:t>
      </w:r>
      <w:r w:rsidDel="00000000" w:rsidR="00000000" w:rsidRPr="00000000">
        <w:rPr>
          <w:rtl w:val="0"/>
        </w:rPr>
        <w:t xml:space="preserve"> behavior across time with economies grouped by:</w:t>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28" w:lineRule="auto"/>
        <w:ind w:left="3600" w:right="0" w:hanging="360"/>
        <w:jc w:val="both"/>
        <w:rPr>
          <w:u w:val="none"/>
        </w:rPr>
      </w:pPr>
      <w:r w:rsidDel="00000000" w:rsidR="00000000" w:rsidRPr="00000000">
        <w:rPr>
          <w:i w:val="1"/>
          <w:rtl w:val="0"/>
        </w:rPr>
        <w:t xml:space="preserve">Income</w:t>
      </w:r>
      <w:r w:rsidDel="00000000" w:rsidR="00000000" w:rsidRPr="00000000">
        <w:rPr>
          <w:rtl w:val="0"/>
        </w:rPr>
        <w:t xml:space="preserve"> level,</w:t>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28" w:lineRule="auto"/>
        <w:ind w:left="3600" w:right="0" w:hanging="360"/>
        <w:jc w:val="both"/>
        <w:rPr>
          <w:u w:val="none"/>
        </w:rPr>
      </w:pPr>
      <w:r w:rsidDel="00000000" w:rsidR="00000000" w:rsidRPr="00000000">
        <w:rPr>
          <w:rtl w:val="0"/>
        </w:rPr>
        <w:t xml:space="preserve">Geographical </w:t>
      </w:r>
      <w:r w:rsidDel="00000000" w:rsidR="00000000" w:rsidRPr="00000000">
        <w:rPr>
          <w:i w:val="1"/>
          <w:rtl w:val="0"/>
        </w:rPr>
        <w:t xml:space="preserve">Region</w:t>
      </w:r>
      <w:r w:rsidDel="00000000" w:rsidR="00000000" w:rsidRPr="00000000">
        <w:rPr>
          <w:rtl w:val="0"/>
        </w:rPr>
        <w:t xml:space="preserve">,</w:t>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28" w:lineRule="auto"/>
        <w:ind w:left="3600" w:right="0" w:hanging="360"/>
        <w:jc w:val="both"/>
        <w:rPr>
          <w:u w:val="none"/>
        </w:rPr>
      </w:pPr>
      <w:r w:rsidDel="00000000" w:rsidR="00000000" w:rsidRPr="00000000">
        <w:rPr>
          <w:i w:val="1"/>
          <w:rtl w:val="0"/>
        </w:rPr>
        <w:t xml:space="preserve">Clusters</w:t>
      </w:r>
      <w:r w:rsidDel="00000000" w:rsidR="00000000" w:rsidRPr="00000000">
        <w:rPr>
          <w:rtl w:val="0"/>
        </w:rPr>
        <w:t xml:space="preserve"> learnt through </w:t>
      </w:r>
      <w:r w:rsidDel="00000000" w:rsidR="00000000" w:rsidRPr="00000000">
        <w:rPr>
          <w:rtl w:val="0"/>
        </w:rPr>
        <w:t xml:space="preserve">K-Means</w:t>
      </w:r>
      <w:r w:rsidDel="00000000" w:rsidR="00000000" w:rsidRPr="00000000">
        <w:rPr>
          <w:rtl w:val="0"/>
        </w:rPr>
        <w:t xml:space="preserve"> clustering.</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right="0"/>
        <w:jc w:val="both"/>
        <w:rPr/>
      </w:pPr>
      <w:r w:rsidDel="00000000" w:rsidR="00000000" w:rsidRPr="00000000">
        <w:rPr>
          <w:rtl w:val="0"/>
        </w:rPr>
        <w:tab/>
        <w:tab/>
        <w:tab/>
        <w:tab/>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10" w:right="0" w:firstLine="0"/>
        <w:jc w:val="both"/>
        <w:rPr>
          <w:b w:val="1"/>
        </w:rPr>
      </w:pPr>
      <w:r w:rsidDel="00000000" w:rsidR="00000000" w:rsidRPr="00000000">
        <w:rPr>
          <w:b w:val="1"/>
          <w:rtl w:val="0"/>
        </w:rPr>
        <w:t xml:space="preserve">3.2.1. WBL Index by Income and Region</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10" w:right="0" w:firstLine="0"/>
        <w:jc w:val="both"/>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10" w:right="0" w:firstLine="270"/>
        <w:jc w:val="both"/>
        <w:rPr/>
      </w:pPr>
      <w:r w:rsidDel="00000000" w:rsidR="00000000" w:rsidRPr="00000000">
        <w:rPr>
          <w:rtl w:val="0"/>
        </w:rPr>
        <w:t xml:space="preserve">As may be seen in Figure 2, when grouped by income level, the different levels follow almost the same trajectory with an increasing vertical offset proportional to the income level. A one-way ANOVA analysis shows that the income groups are indeed well separated from each other, with an f-statistic of 617.385 and a p-value &lt;&lt; 0.001.</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pPr>
      <w:r w:rsidDel="00000000" w:rsidR="00000000" w:rsidRPr="00000000">
        <w:rPr/>
        <w:drawing>
          <wp:inline distB="114300" distT="114300" distL="114300" distR="114300">
            <wp:extent cx="4976813" cy="2616748"/>
            <wp:effectExtent b="0" l="0" r="0" t="0"/>
            <wp:docPr id="14"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4976813" cy="261674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center"/>
        <w:rPr/>
      </w:pPr>
      <w:r w:rsidDel="00000000" w:rsidR="00000000" w:rsidRPr="00000000">
        <w:rPr>
          <w:b w:val="1"/>
          <w:rtl w:val="0"/>
        </w:rPr>
        <w:t xml:space="preserve">Figure 2.</w:t>
      </w:r>
      <w:r w:rsidDel="00000000" w:rsidR="00000000" w:rsidRPr="00000000">
        <w:rPr>
          <w:rtl w:val="0"/>
        </w:rPr>
        <w:t xml:space="preserve"> WBL Index by income level across time with 95% confidence intervals.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271.9999999999999"/>
        <w:jc w:val="both"/>
        <w:rPr/>
      </w:pPr>
      <w:r w:rsidDel="00000000" w:rsidR="00000000" w:rsidRPr="00000000">
        <w:rPr>
          <w:rtl w:val="0"/>
        </w:rPr>
        <w:t xml:space="preserve">When grouping by region the differences are not as apparent for some regions. Figure 3 shows that while the </w:t>
      </w:r>
      <w:r w:rsidDel="00000000" w:rsidR="00000000" w:rsidRPr="00000000">
        <w:rPr>
          <w:i w:val="1"/>
          <w:rtl w:val="0"/>
        </w:rPr>
        <w:t xml:space="preserve">High income: OECD</w:t>
      </w:r>
      <w:r w:rsidDel="00000000" w:rsidR="00000000" w:rsidRPr="00000000">
        <w:rPr>
          <w:rtl w:val="0"/>
        </w:rPr>
        <w:t xml:space="preserve"> economies do display the most progressive laws of all regions and </w:t>
      </w:r>
      <w:r w:rsidDel="00000000" w:rsidR="00000000" w:rsidRPr="00000000">
        <w:rPr>
          <w:i w:val="1"/>
          <w:rtl w:val="0"/>
        </w:rPr>
        <w:t xml:space="preserve">Middle East &amp; North Africa</w:t>
      </w:r>
      <w:r w:rsidDel="00000000" w:rsidR="00000000" w:rsidRPr="00000000">
        <w:rPr>
          <w:rtl w:val="0"/>
        </w:rPr>
        <w:t xml:space="preserve"> is clearly the most lagging region in this regard, the trends for </w:t>
      </w:r>
      <w:r w:rsidDel="00000000" w:rsidR="00000000" w:rsidRPr="00000000">
        <w:rPr>
          <w:i w:val="1"/>
          <w:rtl w:val="0"/>
        </w:rPr>
        <w:t xml:space="preserve">Europe &amp; Central Asia</w:t>
      </w:r>
      <w:r w:rsidDel="00000000" w:rsidR="00000000" w:rsidRPr="00000000">
        <w:rPr>
          <w:rtl w:val="0"/>
        </w:rPr>
        <w:t xml:space="preserve"> and </w:t>
      </w:r>
      <w:r w:rsidDel="00000000" w:rsidR="00000000" w:rsidRPr="00000000">
        <w:rPr>
          <w:i w:val="1"/>
          <w:rtl w:val="0"/>
        </w:rPr>
        <w:t xml:space="preserve">Latin America &amp; Caribbean</w:t>
      </w:r>
      <w:r w:rsidDel="00000000" w:rsidR="00000000" w:rsidRPr="00000000">
        <w:rPr>
          <w:rtl w:val="0"/>
        </w:rPr>
        <w:t xml:space="preserve"> are easily confounded, as is the case for the </w:t>
      </w:r>
      <w:r w:rsidDel="00000000" w:rsidR="00000000" w:rsidRPr="00000000">
        <w:rPr>
          <w:i w:val="1"/>
          <w:rtl w:val="0"/>
        </w:rPr>
        <w:t xml:space="preserve">Sub-Saharan Africa</w:t>
      </w:r>
      <w:r w:rsidDel="00000000" w:rsidR="00000000" w:rsidRPr="00000000">
        <w:rPr>
          <w:rtl w:val="0"/>
        </w:rPr>
        <w:t xml:space="preserve"> and </w:t>
      </w:r>
      <w:r w:rsidDel="00000000" w:rsidR="00000000" w:rsidRPr="00000000">
        <w:rPr>
          <w:i w:val="1"/>
          <w:rtl w:val="0"/>
        </w:rPr>
        <w:t xml:space="preserve">East Asia &amp; Pacific</w:t>
      </w:r>
      <w:r w:rsidDel="00000000" w:rsidR="00000000" w:rsidRPr="00000000">
        <w:rPr>
          <w:rtl w:val="0"/>
        </w:rPr>
        <w:t xml:space="preserve"> regions. In this case, the f-statistic for an ANOVA one-way test is even larger, at 1184.69 and a p-value &lt;&lt; 0.01. Keep in mind, however, that this test only determines that there are at least two real groups, not that all groups are well separated.</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271.9999999999999"/>
        <w:jc w:val="both"/>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pPr>
      <w:r w:rsidDel="00000000" w:rsidR="00000000" w:rsidRPr="00000000">
        <w:rPr/>
        <w:drawing>
          <wp:inline distB="114300" distT="114300" distL="114300" distR="114300">
            <wp:extent cx="4986338" cy="2343150"/>
            <wp:effectExtent b="0" l="0" r="0" t="0"/>
            <wp:docPr id="11"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4986338"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center"/>
        <w:rPr/>
      </w:pPr>
      <w:r w:rsidDel="00000000" w:rsidR="00000000" w:rsidRPr="00000000">
        <w:rPr>
          <w:b w:val="1"/>
          <w:rtl w:val="0"/>
        </w:rPr>
        <w:t xml:space="preserve">Figure 3.</w:t>
      </w:r>
      <w:r w:rsidDel="00000000" w:rsidR="00000000" w:rsidRPr="00000000">
        <w:rPr>
          <w:rtl w:val="0"/>
        </w:rPr>
        <w:t xml:space="preserve"> WBL Index by region across time with 95% confidence intervals.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b w:val="1"/>
        </w:rPr>
      </w:pPr>
      <w:r w:rsidDel="00000000" w:rsidR="00000000" w:rsidRPr="00000000">
        <w:rPr>
          <w:b w:val="1"/>
          <w:rtl w:val="0"/>
        </w:rPr>
        <w:t xml:space="preserve">3.2.2. K-Means Clustering</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271.9999999999999"/>
        <w:jc w:val="both"/>
        <w:rPr/>
      </w:pPr>
      <w:r w:rsidDel="00000000" w:rsidR="00000000" w:rsidRPr="00000000">
        <w:rPr>
          <w:rtl w:val="0"/>
        </w:rPr>
        <w:t xml:space="preserve">In order to determine the quality of the income and region separations, we compared them against learnt clusters of varying sizes, generated via the </w:t>
      </w:r>
      <w:r w:rsidDel="00000000" w:rsidR="00000000" w:rsidRPr="00000000">
        <w:rPr>
          <w:rtl w:val="0"/>
        </w:rPr>
        <w:t xml:space="preserve">K-Means</w:t>
      </w:r>
      <w:r w:rsidDel="00000000" w:rsidR="00000000" w:rsidRPr="00000000">
        <w:rPr>
          <w:rtl w:val="0"/>
        </w:rPr>
        <w:t xml:space="preserve"> clustering algorithm. As may be seen in both plots of Figure 4, when measuring the group’s inertia (the sum of the distances from an economy to its cluster centroid), even two clusters provide better separation than income grouping, while three or more clusters already prove better than region separation. </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271.9999999999999"/>
        <w:jc w:val="both"/>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271.9999999999999"/>
        <w:jc w:val="both"/>
        <w:rPr/>
      </w:pPr>
      <w:r w:rsidDel="00000000" w:rsidR="00000000" w:rsidRPr="00000000">
        <w:rPr>
          <w:rtl w:val="0"/>
        </w:rPr>
        <w:t xml:space="preserve">When looking at the silhouette score —a measure of how similar an object is to its own cluster compared to other clusters— the results are even stronger, as both income and region grouping produce a negative score, indicating poor separation across groups. In contrast, </w:t>
      </w:r>
      <w:r w:rsidDel="00000000" w:rsidR="00000000" w:rsidRPr="00000000">
        <w:rPr>
          <w:rtl w:val="0"/>
        </w:rPr>
        <w:t xml:space="preserve">K-Means</w:t>
      </w:r>
      <w:r w:rsidDel="00000000" w:rsidR="00000000" w:rsidRPr="00000000">
        <w:rPr>
          <w:rtl w:val="0"/>
        </w:rPr>
        <w:t xml:space="preserve"> positive silhouette scores for every </w:t>
      </w:r>
      <w:r w:rsidDel="00000000" w:rsidR="00000000" w:rsidRPr="00000000">
        <w:rPr>
          <w:i w:val="1"/>
          <w:rtl w:val="0"/>
        </w:rPr>
        <w:t xml:space="preserve">K</w:t>
      </w:r>
      <w:r w:rsidDel="00000000" w:rsidR="00000000" w:rsidRPr="00000000">
        <w:rPr>
          <w:rtl w:val="0"/>
        </w:rPr>
        <w:t xml:space="preserve">. Analysis of the silhouette score plot indicates that the optimal number of clusters is   </w:t>
      </w:r>
      <w:r w:rsidDel="00000000" w:rsidR="00000000" w:rsidRPr="00000000">
        <w:rPr>
          <w:i w:val="1"/>
          <w:rtl w:val="0"/>
        </w:rPr>
        <w:t xml:space="preserve">K = 3</w:t>
      </w:r>
      <w:r w:rsidDel="00000000" w:rsidR="00000000" w:rsidRPr="00000000">
        <w:rPr>
          <w:rtl w:val="0"/>
        </w:rPr>
        <w:t xml:space="preserve">, but the </w:t>
      </w:r>
      <w:r w:rsidDel="00000000" w:rsidR="00000000" w:rsidRPr="00000000">
        <w:rPr>
          <w:i w:val="1"/>
          <w:rtl w:val="0"/>
        </w:rPr>
        <w:t xml:space="preserve">K = 2</w:t>
      </w:r>
      <w:r w:rsidDel="00000000" w:rsidR="00000000" w:rsidRPr="00000000">
        <w:rPr>
          <w:rtl w:val="0"/>
        </w:rPr>
        <w:t xml:space="preserve"> and </w:t>
      </w:r>
      <w:r w:rsidDel="00000000" w:rsidR="00000000" w:rsidRPr="00000000">
        <w:rPr>
          <w:i w:val="1"/>
          <w:rtl w:val="0"/>
        </w:rPr>
        <w:t xml:space="preserve">K = 4</w:t>
      </w:r>
      <w:r w:rsidDel="00000000" w:rsidR="00000000" w:rsidRPr="00000000">
        <w:rPr>
          <w:rtl w:val="0"/>
        </w:rPr>
        <w:t xml:space="preserve"> cases were also analyzed in our experiment as the elbow point for inertia is not obviously located at </w:t>
      </w:r>
      <w:r w:rsidDel="00000000" w:rsidR="00000000" w:rsidRPr="00000000">
        <w:rPr>
          <w:i w:val="1"/>
          <w:rtl w:val="0"/>
        </w:rPr>
        <w:t xml:space="preserve">K = 3</w:t>
      </w:r>
      <w:r w:rsidDel="00000000" w:rsidR="00000000" w:rsidRPr="00000000">
        <w:rPr>
          <w:rtl w:val="0"/>
        </w:rPr>
        <w:t xml:space="preserve">.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271.9999999999999"/>
        <w:jc w:val="both"/>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271.9999999999999"/>
        <w:jc w:val="both"/>
        <w:rPr/>
      </w:pPr>
      <w:r w:rsidDel="00000000" w:rsidR="00000000" w:rsidRPr="00000000">
        <w:rPr/>
        <w:drawing>
          <wp:inline distB="114300" distT="114300" distL="114300" distR="114300">
            <wp:extent cx="4980046" cy="3217766"/>
            <wp:effectExtent b="0" l="0" r="0" t="0"/>
            <wp:docPr id="10"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4980046" cy="3217766"/>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center"/>
        <w:rPr/>
      </w:pPr>
      <w:r w:rsidDel="00000000" w:rsidR="00000000" w:rsidRPr="00000000">
        <w:rPr>
          <w:b w:val="1"/>
          <w:rtl w:val="0"/>
        </w:rPr>
        <w:t xml:space="preserve">Figure 4.</w:t>
      </w:r>
      <w:r w:rsidDel="00000000" w:rsidR="00000000" w:rsidRPr="00000000">
        <w:rPr>
          <w:rtl w:val="0"/>
        </w:rPr>
        <w:t xml:space="preserve"> Inertia and Silhouette scores for </w:t>
      </w:r>
      <w:r w:rsidDel="00000000" w:rsidR="00000000" w:rsidRPr="00000000">
        <w:rPr>
          <w:i w:val="1"/>
          <w:rtl w:val="0"/>
        </w:rPr>
        <w:t xml:space="preserve">income</w:t>
      </w:r>
      <w:r w:rsidDel="00000000" w:rsidR="00000000" w:rsidRPr="00000000">
        <w:rPr>
          <w:rtl w:val="0"/>
        </w:rPr>
        <w:t xml:space="preserve"> and </w:t>
      </w:r>
      <w:r w:rsidDel="00000000" w:rsidR="00000000" w:rsidRPr="00000000">
        <w:rPr>
          <w:i w:val="1"/>
          <w:rtl w:val="0"/>
        </w:rPr>
        <w:t xml:space="preserve">region</w:t>
      </w:r>
      <w:r w:rsidDel="00000000" w:rsidR="00000000" w:rsidRPr="00000000">
        <w:rPr>
          <w:rtl w:val="0"/>
        </w:rPr>
        <w:t xml:space="preserve"> grouping vs. </w:t>
      </w:r>
      <w:r w:rsidDel="00000000" w:rsidR="00000000" w:rsidRPr="00000000">
        <w:rPr>
          <w:rtl w:val="0"/>
        </w:rPr>
        <w:t xml:space="preserve">K-Means</w:t>
      </w:r>
      <w:r w:rsidDel="00000000" w:rsidR="00000000" w:rsidRPr="00000000">
        <w:rPr>
          <w:rtl w:val="0"/>
        </w:rPr>
        <w:t xml:space="preserve"> clustering for different </w:t>
      </w:r>
      <w:r w:rsidDel="00000000" w:rsidR="00000000" w:rsidRPr="00000000">
        <w:rPr>
          <w:i w:val="1"/>
          <w:rtl w:val="0"/>
        </w:rPr>
        <w:t xml:space="preserve">K</w:t>
      </w:r>
      <w:r w:rsidDel="00000000" w:rsidR="00000000" w:rsidRPr="00000000">
        <w:rPr>
          <w:rtl w:val="0"/>
        </w:rPr>
        <w:t xml:space="preserve"> values.</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0" w:right="0" w:firstLine="0"/>
        <w:jc w:val="both"/>
        <w:rPr/>
      </w:pPr>
      <w:r w:rsidDel="00000000" w:rsidR="00000000" w:rsidRPr="00000000">
        <w:rPr>
          <w:rtl w:val="0"/>
        </w:rPr>
      </w:r>
    </w:p>
    <w:p w:rsidR="00000000" w:rsidDel="00000000" w:rsidP="00000000" w:rsidRDefault="00000000" w:rsidRPr="00000000" w14:paraId="0000006B">
      <w:pPr>
        <w:spacing w:line="228" w:lineRule="auto"/>
        <w:ind w:left="2608" w:firstLine="271.9999999999999"/>
        <w:rPr/>
      </w:pPr>
      <w:r w:rsidDel="00000000" w:rsidR="00000000" w:rsidRPr="00000000">
        <w:rPr>
          <w:rtl w:val="0"/>
        </w:rPr>
        <w:t xml:space="preserve">Given the K-Means clusterings’ improved cohesion and separation over </w:t>
      </w:r>
      <w:r w:rsidDel="00000000" w:rsidR="00000000" w:rsidRPr="00000000">
        <w:rPr>
          <w:i w:val="1"/>
          <w:rtl w:val="0"/>
        </w:rPr>
        <w:t xml:space="preserve">Income</w:t>
      </w:r>
      <w:r w:rsidDel="00000000" w:rsidR="00000000" w:rsidRPr="00000000">
        <w:rPr>
          <w:rtl w:val="0"/>
        </w:rPr>
        <w:t xml:space="preserve"> and </w:t>
      </w:r>
      <w:r w:rsidDel="00000000" w:rsidR="00000000" w:rsidRPr="00000000">
        <w:rPr>
          <w:i w:val="1"/>
          <w:rtl w:val="0"/>
        </w:rPr>
        <w:t xml:space="preserve">Region</w:t>
      </w:r>
      <w:r w:rsidDel="00000000" w:rsidR="00000000" w:rsidRPr="00000000">
        <w:rPr>
          <w:rtl w:val="0"/>
        </w:rPr>
        <w:t xml:space="preserve"> grouping, we then proceeded to analyze the resulting clusters’ behavior. When looking at the regional composition of the clusters, shown in Figure 5, it becomes immediately apparent that the </w:t>
      </w:r>
      <w:r w:rsidDel="00000000" w:rsidR="00000000" w:rsidRPr="00000000">
        <w:rPr>
          <w:i w:val="1"/>
          <w:rtl w:val="0"/>
        </w:rPr>
        <w:t xml:space="preserve">High Income: OECD</w:t>
      </w:r>
      <w:r w:rsidDel="00000000" w:rsidR="00000000" w:rsidRPr="00000000">
        <w:rPr>
          <w:rtl w:val="0"/>
        </w:rPr>
        <w:t xml:space="preserve"> economies and the </w:t>
      </w:r>
      <w:r w:rsidDel="00000000" w:rsidR="00000000" w:rsidRPr="00000000">
        <w:rPr>
          <w:i w:val="1"/>
          <w:rtl w:val="0"/>
        </w:rPr>
        <w:t xml:space="preserve">Middle East &amp; North Africa</w:t>
      </w:r>
      <w:r w:rsidDel="00000000" w:rsidR="00000000" w:rsidRPr="00000000">
        <w:rPr>
          <w:rtl w:val="0"/>
        </w:rPr>
        <w:t xml:space="preserve"> economies always end up in different clusters, regardless of </w:t>
      </w:r>
      <w:r w:rsidDel="00000000" w:rsidR="00000000" w:rsidRPr="00000000">
        <w:rPr>
          <w:i w:val="1"/>
          <w:rtl w:val="0"/>
        </w:rPr>
        <w:t xml:space="preserve">K</w:t>
      </w:r>
      <w:r w:rsidDel="00000000" w:rsidR="00000000" w:rsidRPr="00000000">
        <w:rPr>
          <w:rtl w:val="0"/>
        </w:rPr>
        <w:t xml:space="preserve">. </w:t>
      </w:r>
      <w:r w:rsidDel="00000000" w:rsidR="00000000" w:rsidRPr="00000000">
        <w:rPr>
          <w:i w:val="1"/>
          <w:rtl w:val="0"/>
        </w:rPr>
        <w:t xml:space="preserve">Europe &amp; Central Asia</w:t>
      </w:r>
      <w:r w:rsidDel="00000000" w:rsidR="00000000" w:rsidRPr="00000000">
        <w:rPr>
          <w:rtl w:val="0"/>
        </w:rPr>
        <w:t xml:space="preserve"> </w:t>
      </w:r>
      <w:r w:rsidDel="00000000" w:rsidR="00000000" w:rsidRPr="00000000">
        <w:rPr>
          <w:rtl w:val="0"/>
        </w:rPr>
        <w:t xml:space="preserve">economies are clustered together with High Income in every case, same case as </w:t>
      </w:r>
      <w:r w:rsidDel="00000000" w:rsidR="00000000" w:rsidRPr="00000000">
        <w:rPr>
          <w:i w:val="1"/>
          <w:rtl w:val="0"/>
        </w:rPr>
        <w:t xml:space="preserve">East Asia &amp; Pacific</w:t>
      </w:r>
      <w:r w:rsidDel="00000000" w:rsidR="00000000" w:rsidRPr="00000000">
        <w:rPr>
          <w:rtl w:val="0"/>
        </w:rPr>
        <w:t xml:space="preserve"> and </w:t>
      </w:r>
      <w:r w:rsidDel="00000000" w:rsidR="00000000" w:rsidRPr="00000000">
        <w:rPr>
          <w:i w:val="1"/>
          <w:rtl w:val="0"/>
        </w:rPr>
        <w:t xml:space="preserve">Latin America &amp; Caribbean</w:t>
      </w:r>
      <w:r w:rsidDel="00000000" w:rsidR="00000000" w:rsidRPr="00000000">
        <w:rPr>
          <w:rtl w:val="0"/>
        </w:rPr>
        <w:t xml:space="preserve"> for </w:t>
      </w:r>
      <w:r w:rsidDel="00000000" w:rsidR="00000000" w:rsidRPr="00000000">
        <w:rPr>
          <w:i w:val="1"/>
          <w:rtl w:val="0"/>
        </w:rPr>
        <w:t xml:space="preserve">K = 2</w:t>
      </w:r>
      <w:r w:rsidDel="00000000" w:rsidR="00000000" w:rsidRPr="00000000">
        <w:rPr>
          <w:rtl w:val="0"/>
        </w:rPr>
        <w:t xml:space="preserve"> and </w:t>
      </w:r>
      <w:r w:rsidDel="00000000" w:rsidR="00000000" w:rsidRPr="00000000">
        <w:rPr>
          <w:i w:val="1"/>
          <w:rtl w:val="0"/>
        </w:rPr>
        <w:t xml:space="preserve">K = 3</w:t>
      </w:r>
      <w:r w:rsidDel="00000000" w:rsidR="00000000" w:rsidRPr="00000000">
        <w:rPr>
          <w:rtl w:val="0"/>
        </w:rPr>
        <w:t xml:space="preserve">. These two regions get separated further as </w:t>
      </w:r>
      <w:r w:rsidDel="00000000" w:rsidR="00000000" w:rsidRPr="00000000">
        <w:rPr>
          <w:i w:val="1"/>
          <w:rtl w:val="0"/>
        </w:rPr>
        <w:t xml:space="preserve">K</w:t>
      </w:r>
      <w:r w:rsidDel="00000000" w:rsidR="00000000" w:rsidRPr="00000000">
        <w:rPr>
          <w:rtl w:val="0"/>
        </w:rPr>
        <w:t xml:space="preserve"> increases to 4, though, part of them still clustered together with </w:t>
      </w:r>
      <w:r w:rsidDel="00000000" w:rsidR="00000000" w:rsidRPr="00000000">
        <w:rPr>
          <w:i w:val="1"/>
          <w:rtl w:val="0"/>
        </w:rPr>
        <w:t xml:space="preserve">High Income</w:t>
      </w:r>
      <w:r w:rsidDel="00000000" w:rsidR="00000000" w:rsidRPr="00000000">
        <w:rPr>
          <w:rtl w:val="0"/>
        </w:rPr>
        <w:t xml:space="preserve"> and part of them belonging to a new, heterogeneous group. Interestingly, the fourth cluster in the </w:t>
      </w:r>
      <w:r w:rsidDel="00000000" w:rsidR="00000000" w:rsidRPr="00000000">
        <w:rPr>
          <w:i w:val="1"/>
          <w:rtl w:val="0"/>
        </w:rPr>
        <w:t xml:space="preserve">K = 4</w:t>
      </w:r>
      <w:r w:rsidDel="00000000" w:rsidR="00000000" w:rsidRPr="00000000">
        <w:rPr>
          <w:rtl w:val="0"/>
        </w:rPr>
        <w:t xml:space="preserve"> case consists almost entirely of </w:t>
      </w:r>
      <w:r w:rsidDel="00000000" w:rsidR="00000000" w:rsidRPr="00000000">
        <w:rPr>
          <w:i w:val="1"/>
          <w:rtl w:val="0"/>
        </w:rPr>
        <w:t xml:space="preserve">Sub-Saharan Africa</w:t>
      </w:r>
      <w:r w:rsidDel="00000000" w:rsidR="00000000" w:rsidRPr="00000000">
        <w:rPr>
          <w:rtl w:val="0"/>
        </w:rPr>
        <w:t xml:space="preserve"> countries.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pPr>
      <w:r w:rsidDel="00000000" w:rsidR="00000000" w:rsidRPr="00000000">
        <w:rPr/>
        <w:drawing>
          <wp:inline distB="114300" distT="114300" distL="114300" distR="114300">
            <wp:extent cx="4983513" cy="2970116"/>
            <wp:effectExtent b="0" l="0" r="0" t="0"/>
            <wp:docPr id="8"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4983513" cy="2970116"/>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center"/>
        <w:rPr/>
      </w:pPr>
      <w:r w:rsidDel="00000000" w:rsidR="00000000" w:rsidRPr="00000000">
        <w:rPr>
          <w:b w:val="1"/>
          <w:rtl w:val="0"/>
        </w:rPr>
        <w:t xml:space="preserve">Figure 5.</w:t>
      </w:r>
      <w:r w:rsidDel="00000000" w:rsidR="00000000" w:rsidRPr="00000000">
        <w:rPr>
          <w:rtl w:val="0"/>
        </w:rPr>
        <w:t xml:space="preserve"> Regional composition of clusters for </w:t>
      </w:r>
      <w:r w:rsidDel="00000000" w:rsidR="00000000" w:rsidRPr="00000000">
        <w:rPr>
          <w:i w:val="1"/>
          <w:rtl w:val="0"/>
        </w:rPr>
        <w:t xml:space="preserve">K = 2</w:t>
      </w:r>
      <w:r w:rsidDel="00000000" w:rsidR="00000000" w:rsidRPr="00000000">
        <w:rPr>
          <w:rtl w:val="0"/>
        </w:rPr>
        <w:t xml:space="preserve">, </w:t>
      </w:r>
      <w:r w:rsidDel="00000000" w:rsidR="00000000" w:rsidRPr="00000000">
        <w:rPr>
          <w:i w:val="1"/>
          <w:rtl w:val="0"/>
        </w:rPr>
        <w:t xml:space="preserve">K = 3</w:t>
      </w:r>
      <w:r w:rsidDel="00000000" w:rsidR="00000000" w:rsidRPr="00000000">
        <w:rPr>
          <w:rtl w:val="0"/>
        </w:rPr>
        <w:t xml:space="preserve">, and </w:t>
      </w:r>
      <w:r w:rsidDel="00000000" w:rsidR="00000000" w:rsidRPr="00000000">
        <w:rPr>
          <w:i w:val="1"/>
          <w:rtl w:val="0"/>
        </w:rPr>
        <w:t xml:space="preserve">K = 4</w:t>
      </w:r>
      <w:r w:rsidDel="00000000" w:rsidR="00000000" w:rsidRPr="00000000">
        <w:rPr>
          <w:rtl w:val="0"/>
        </w:rPr>
        <w:t xml:space="preserve">.</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271.9999999999999"/>
        <w:jc w:val="both"/>
        <w:rPr/>
      </w:pPr>
      <w:r w:rsidDel="00000000" w:rsidR="00000000" w:rsidRPr="00000000">
        <w:rPr>
          <w:rtl w:val="0"/>
        </w:rPr>
        <w:t xml:space="preserve">When looking at the temporal trends of the different clusters, shown in Figure 6, we can see that the curves are clearly separated for all three </w:t>
      </w:r>
      <w:r w:rsidDel="00000000" w:rsidR="00000000" w:rsidRPr="00000000">
        <w:rPr>
          <w:i w:val="1"/>
          <w:rtl w:val="0"/>
        </w:rPr>
        <w:t xml:space="preserve">K</w:t>
      </w:r>
      <w:r w:rsidDel="00000000" w:rsidR="00000000" w:rsidRPr="00000000">
        <w:rPr>
          <w:rtl w:val="0"/>
        </w:rPr>
        <w:t xml:space="preserve">-values, with even the confidence intervals being disjoint most of the time. The resulting one-way ANOVA f-statistics for </w:t>
      </w:r>
      <w:r w:rsidDel="00000000" w:rsidR="00000000" w:rsidRPr="00000000">
        <w:rPr>
          <w:i w:val="1"/>
          <w:rtl w:val="0"/>
        </w:rPr>
        <w:t xml:space="preserve">K = 2</w:t>
      </w:r>
      <w:r w:rsidDel="00000000" w:rsidR="00000000" w:rsidRPr="00000000">
        <w:rPr>
          <w:rtl w:val="0"/>
        </w:rPr>
        <w:t xml:space="preserve">, </w:t>
      </w:r>
      <w:r w:rsidDel="00000000" w:rsidR="00000000" w:rsidRPr="00000000">
        <w:rPr>
          <w:i w:val="1"/>
          <w:rtl w:val="0"/>
        </w:rPr>
        <w:t xml:space="preserve">K = 3</w:t>
      </w:r>
      <w:r w:rsidDel="00000000" w:rsidR="00000000" w:rsidRPr="00000000">
        <w:rPr>
          <w:rtl w:val="0"/>
        </w:rPr>
        <w:t xml:space="preserve"> and </w:t>
      </w:r>
      <w:r w:rsidDel="00000000" w:rsidR="00000000" w:rsidRPr="00000000">
        <w:rPr>
          <w:i w:val="1"/>
          <w:rtl w:val="0"/>
        </w:rPr>
        <w:t xml:space="preserve">K = 4</w:t>
      </w:r>
      <w:r w:rsidDel="00000000" w:rsidR="00000000" w:rsidRPr="00000000">
        <w:rPr>
          <w:rtl w:val="0"/>
        </w:rPr>
        <w:t xml:space="preserve"> were 5847.44, 2937.81 and 2602.6, respectively. In every case, the p-value &lt;&lt; 0.001.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271.9999999999999"/>
        <w:jc w:val="both"/>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center"/>
        <w:rPr/>
      </w:pPr>
      <w:r w:rsidDel="00000000" w:rsidR="00000000" w:rsidRPr="00000000">
        <w:rPr/>
        <w:drawing>
          <wp:inline distB="114300" distT="114300" distL="114300" distR="114300">
            <wp:extent cx="4986338" cy="2457450"/>
            <wp:effectExtent b="0" l="0" r="0" t="0"/>
            <wp:docPr id="9"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4986338"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center"/>
        <w:rPr/>
      </w:pPr>
      <w:r w:rsidDel="00000000" w:rsidR="00000000" w:rsidRPr="00000000">
        <w:rPr>
          <w:b w:val="1"/>
          <w:rtl w:val="0"/>
        </w:rPr>
        <w:t xml:space="preserve">Figure 6.</w:t>
      </w:r>
      <w:r w:rsidDel="00000000" w:rsidR="00000000" w:rsidRPr="00000000">
        <w:rPr>
          <w:rtl w:val="0"/>
        </w:rPr>
        <w:t xml:space="preserve"> WBL Index by cluster across time with 95% confidence intervals.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271.9999999999999"/>
        <w:jc w:val="both"/>
        <w:rPr/>
      </w:pPr>
      <w:r w:rsidDel="00000000" w:rsidR="00000000" w:rsidRPr="00000000">
        <w:rPr>
          <w:rtl w:val="0"/>
        </w:rPr>
        <w:t xml:space="preserve">In order to further understand the temporal cluster trends, a simple linear regression of </w:t>
      </w:r>
      <w:r w:rsidDel="00000000" w:rsidR="00000000" w:rsidRPr="00000000">
        <w:rPr>
          <w:i w:val="1"/>
          <w:rtl w:val="0"/>
        </w:rPr>
        <w:t xml:space="preserve">WBL Index ~ Year</w:t>
      </w:r>
      <w:r w:rsidDel="00000000" w:rsidR="00000000" w:rsidRPr="00000000">
        <w:rPr>
          <w:rtl w:val="0"/>
        </w:rPr>
        <w:t xml:space="preserve"> was performed for each cluster, resulting in the lines shown in Figure 7. These lines allowed us to predict the year by which each cluster will achieve the optimal </w:t>
      </w:r>
      <w:r w:rsidDel="00000000" w:rsidR="00000000" w:rsidRPr="00000000">
        <w:rPr>
          <w:i w:val="1"/>
          <w:rtl w:val="0"/>
        </w:rPr>
        <w:t xml:space="preserve">WBL Index</w:t>
      </w:r>
      <w:r w:rsidDel="00000000" w:rsidR="00000000" w:rsidRPr="00000000">
        <w:rPr>
          <w:rtl w:val="0"/>
        </w:rPr>
        <w:t xml:space="preserve"> score of 100. The resulting predictions are presented in Table 1. As may be seen, there are large differences in the time windows by when this optimal condition may be expected. For the sake of completeness, a similar analysis was performed when grouping the economies by </w:t>
      </w:r>
      <w:r w:rsidDel="00000000" w:rsidR="00000000" w:rsidRPr="00000000">
        <w:rPr>
          <w:i w:val="1"/>
          <w:rtl w:val="0"/>
        </w:rPr>
        <w:t xml:space="preserve">Income</w:t>
      </w:r>
      <w:r w:rsidDel="00000000" w:rsidR="00000000" w:rsidRPr="00000000">
        <w:rPr>
          <w:rtl w:val="0"/>
        </w:rPr>
        <w:t xml:space="preserve"> and </w:t>
      </w:r>
      <w:r w:rsidDel="00000000" w:rsidR="00000000" w:rsidRPr="00000000">
        <w:rPr>
          <w:i w:val="1"/>
          <w:rtl w:val="0"/>
        </w:rPr>
        <w:t xml:space="preserve">Region</w:t>
      </w:r>
      <w:r w:rsidDel="00000000" w:rsidR="00000000" w:rsidRPr="00000000">
        <w:rPr>
          <w:rtl w:val="0"/>
        </w:rPr>
        <w:t xml:space="preserve">. The resulting predictions are again vastly different across groups, and may be seen in Tables 2 and 3 for </w:t>
      </w:r>
      <w:r w:rsidDel="00000000" w:rsidR="00000000" w:rsidRPr="00000000">
        <w:rPr>
          <w:i w:val="1"/>
          <w:rtl w:val="0"/>
        </w:rPr>
        <w:t xml:space="preserve">Income</w:t>
      </w:r>
      <w:r w:rsidDel="00000000" w:rsidR="00000000" w:rsidRPr="00000000">
        <w:rPr>
          <w:rtl w:val="0"/>
        </w:rPr>
        <w:t xml:space="preserve"> and </w:t>
      </w:r>
      <w:r w:rsidDel="00000000" w:rsidR="00000000" w:rsidRPr="00000000">
        <w:rPr>
          <w:i w:val="1"/>
          <w:rtl w:val="0"/>
        </w:rPr>
        <w:t xml:space="preserve">Region</w:t>
      </w:r>
      <w:r w:rsidDel="00000000" w:rsidR="00000000" w:rsidRPr="00000000">
        <w:rPr>
          <w:rtl w:val="0"/>
        </w:rPr>
        <w:t xml:space="preserve">, respectively.</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center"/>
        <w:rPr/>
      </w:pPr>
      <w:r w:rsidDel="00000000" w:rsidR="00000000" w:rsidRPr="00000000">
        <w:rPr/>
        <w:drawing>
          <wp:inline distB="114300" distT="114300" distL="114300" distR="114300">
            <wp:extent cx="5017332" cy="2465496"/>
            <wp:effectExtent b="0" l="0" r="0" t="0"/>
            <wp:docPr id="13"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5017332" cy="246549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center"/>
        <w:rPr/>
      </w:pPr>
      <w:r w:rsidDel="00000000" w:rsidR="00000000" w:rsidRPr="00000000">
        <w:rPr>
          <w:b w:val="1"/>
          <w:rtl w:val="0"/>
        </w:rPr>
        <w:t xml:space="preserve">Figure 7.</w:t>
      </w:r>
      <w:r w:rsidDel="00000000" w:rsidR="00000000" w:rsidRPr="00000000">
        <w:rPr>
          <w:rtl w:val="0"/>
        </w:rPr>
        <w:t xml:space="preserve"> Linear regression fits </w:t>
      </w:r>
      <w:r w:rsidDel="00000000" w:rsidR="00000000" w:rsidRPr="00000000">
        <w:rPr>
          <w:i w:val="1"/>
          <w:rtl w:val="0"/>
        </w:rPr>
        <w:t xml:space="preserve">WBL Index ~ Year</w:t>
      </w:r>
      <w:r w:rsidDel="00000000" w:rsidR="00000000" w:rsidRPr="00000000">
        <w:rPr>
          <w:rtl w:val="0"/>
        </w:rPr>
        <w:t xml:space="preserve"> for each cluster.</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0" w:right="0" w:firstLine="0"/>
        <w:jc w:val="both"/>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608" w:right="0" w:firstLine="0"/>
        <w:jc w:val="center"/>
        <w:rPr/>
      </w:pPr>
      <w:r w:rsidDel="00000000" w:rsidR="00000000" w:rsidRPr="00000000">
        <w:rPr>
          <w:b w:val="1"/>
          <w:rtl w:val="0"/>
        </w:rPr>
        <w:t xml:space="preserve">Table 1.</w:t>
      </w:r>
      <w:r w:rsidDel="00000000" w:rsidR="00000000" w:rsidRPr="00000000">
        <w:rPr>
          <w:rtl w:val="0"/>
        </w:rPr>
        <w:t xml:space="preserve"> Year prediction for each cluster to achieve </w:t>
      </w:r>
      <w:r w:rsidDel="00000000" w:rsidR="00000000" w:rsidRPr="00000000">
        <w:rPr>
          <w:i w:val="1"/>
          <w:rtl w:val="0"/>
        </w:rPr>
        <w:t xml:space="preserve">WBL Index = 100</w:t>
      </w:r>
      <w:r w:rsidDel="00000000" w:rsidR="00000000" w:rsidRPr="00000000">
        <w:rPr>
          <w:rtl w:val="0"/>
        </w:rPr>
        <w:t xml:space="preserve">.</w:t>
      </w:r>
    </w:p>
    <w:tbl>
      <w:tblPr>
        <w:tblStyle w:val="Table2"/>
        <w:tblW w:w="3312.0" w:type="dxa"/>
        <w:jc w:val="left"/>
        <w:tblInd w:w="4911.8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
        <w:gridCol w:w="720"/>
        <w:gridCol w:w="720"/>
        <w:gridCol w:w="720"/>
        <w:tblGridChange w:id="0">
          <w:tblGrid>
            <w:gridCol w:w="1152"/>
            <w:gridCol w:w="720"/>
            <w:gridCol w:w="720"/>
            <w:gridCol w:w="720"/>
          </w:tblGrid>
        </w:tblGridChange>
      </w:tblGrid>
      <w:tr>
        <w:trPr>
          <w:cantSplit w:val="0"/>
          <w:tblHeader w:val="0"/>
        </w:trPr>
        <w:tc>
          <w:tcPr>
            <w:tcBorders>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3"/>
            <w:tcBorders>
              <w:left w:color="000000" w:space="0" w:sz="0" w:val="nil"/>
              <w:bottom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Year</w:t>
            </w:r>
          </w:p>
        </w:tc>
      </w:tr>
      <w:tr>
        <w:trPr>
          <w:cantSplit w:val="0"/>
          <w:tblHeader w:val="0"/>
        </w:trPr>
        <w:tc>
          <w:tcPr>
            <w:tcBorders>
              <w:top w:color="000000" w:space="0" w:sz="0" w:val="nil"/>
              <w:left w:color="000000" w:space="0" w:sz="0" w:val="nil"/>
              <w:bottom w:color="000000"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Cluster</w:t>
            </w:r>
          </w:p>
        </w:tc>
        <w:tc>
          <w:tcPr>
            <w:tcBorders>
              <w:top w:color="000000" w:space="0" w:sz="6" w:val="single"/>
              <w:left w:color="000000" w:space="0" w:sz="0" w:val="nil"/>
              <w:bottom w:color="000000"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 = 2</w:t>
            </w:r>
          </w:p>
        </w:tc>
        <w:tc>
          <w:tcPr>
            <w:tcBorders>
              <w:top w:color="000000" w:space="0" w:sz="6" w:val="single"/>
              <w:left w:color="000000" w:space="0" w:sz="0" w:val="nil"/>
              <w:bottom w:color="000000"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 = 3</w:t>
            </w:r>
          </w:p>
        </w:tc>
        <w:tc>
          <w:tcPr>
            <w:tcBorders>
              <w:top w:color="000000" w:space="0" w:sz="6" w:val="single"/>
              <w:left w:color="000000" w:space="0" w:sz="0" w:val="nil"/>
              <w:bottom w:color="000000"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 = 4</w:t>
            </w:r>
          </w:p>
        </w:tc>
      </w:tr>
      <w:tr>
        <w:trPr>
          <w:cantSplit w:val="0"/>
          <w:tblHeader w:val="0"/>
        </w:trPr>
        <w:tc>
          <w:tcPr>
            <w:tcBorders>
              <w:top w:color="000000" w:space="0" w:sz="6"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tcBorders>
              <w:top w:color="000000" w:space="0" w:sz="6"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2107</w:t>
            </w:r>
          </w:p>
        </w:tc>
        <w:tc>
          <w:tcPr>
            <w:tcBorders>
              <w:top w:color="000000" w:space="0" w:sz="6"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2071</w:t>
            </w:r>
          </w:p>
        </w:tc>
        <w:tc>
          <w:tcPr>
            <w:tcBorders>
              <w:top w:color="000000" w:space="0" w:sz="6" w:val="single"/>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2255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2042</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2045</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2036</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2170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2075</w:t>
            </w:r>
          </w:p>
        </w:tc>
      </w:tr>
      <w:tr>
        <w:trPr>
          <w:cantSplit w:val="0"/>
          <w:tblHeader w:val="0"/>
        </w:trPr>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tcBorders>
              <w:top w:color="000000" w:space="0" w:sz="0" w:val="nil"/>
              <w:left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2067</w:t>
            </w:r>
          </w:p>
        </w:tc>
      </w:tr>
    </w:tbl>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0" w:right="0" w:firstLine="0"/>
        <w:jc w:val="both"/>
        <w:rPr/>
      </w:pPr>
      <w:r w:rsidDel="00000000" w:rsidR="00000000" w:rsidRPr="00000000">
        <w:rPr>
          <w:rtl w:val="0"/>
        </w:rPr>
      </w:r>
    </w:p>
    <w:p w:rsidR="00000000" w:rsidDel="00000000" w:rsidP="00000000" w:rsidRDefault="00000000" w:rsidRPr="00000000" w14:paraId="00000093">
      <w:pPr>
        <w:spacing w:line="276" w:lineRule="auto"/>
        <w:ind w:left="2608" w:firstLine="0"/>
        <w:jc w:val="center"/>
        <w:rPr/>
      </w:pPr>
      <w:r w:rsidDel="00000000" w:rsidR="00000000" w:rsidRPr="00000000">
        <w:rPr>
          <w:b w:val="1"/>
          <w:rtl w:val="0"/>
        </w:rPr>
        <w:t xml:space="preserve">Table 2.</w:t>
      </w:r>
      <w:r w:rsidDel="00000000" w:rsidR="00000000" w:rsidRPr="00000000">
        <w:rPr>
          <w:rtl w:val="0"/>
        </w:rPr>
        <w:t xml:space="preserve"> Year prediction for each income level to achieve </w:t>
      </w:r>
      <w:r w:rsidDel="00000000" w:rsidR="00000000" w:rsidRPr="00000000">
        <w:rPr>
          <w:i w:val="1"/>
          <w:rtl w:val="0"/>
        </w:rPr>
        <w:t xml:space="preserve">WBL Index = 100</w:t>
      </w:r>
      <w:r w:rsidDel="00000000" w:rsidR="00000000" w:rsidRPr="00000000">
        <w:rPr>
          <w:rtl w:val="0"/>
        </w:rPr>
        <w:t xml:space="preserve">.</w:t>
      </w:r>
    </w:p>
    <w:tbl>
      <w:tblPr>
        <w:tblStyle w:val="Table3"/>
        <w:tblW w:w="2160.0" w:type="dxa"/>
        <w:jc w:val="left"/>
        <w:tblInd w:w="5487.8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720"/>
        <w:tblGridChange w:id="0">
          <w:tblGrid>
            <w:gridCol w:w="1440"/>
            <w:gridCol w:w="720"/>
          </w:tblGrid>
        </w:tblGridChange>
      </w:tblGrid>
      <w:tr>
        <w:trPr>
          <w:cantSplit w:val="0"/>
          <w:tblHeader w:val="0"/>
        </w:trPr>
        <w:tc>
          <w:tcPr>
            <w:tcBorders>
              <w:left w:color="000000" w:space="0" w:sz="0" w:val="nil"/>
              <w:bottom w:color="000000" w:space="0" w:sz="6" w:val="single"/>
              <w:right w:color="000000" w:space="0" w:sz="0" w:val="nil"/>
            </w:tcBorders>
            <w:tcMar>
              <w:top w:w="0.0" w:type="dxa"/>
              <w:left w:w="0.0" w:type="dxa"/>
              <w:bottom w:w="0.0" w:type="dxa"/>
              <w:right w:w="0.0" w:type="dxa"/>
            </w:tcMar>
          </w:tcPr>
          <w:p w:rsidR="00000000" w:rsidDel="00000000" w:rsidP="00000000" w:rsidRDefault="00000000" w:rsidRPr="00000000" w14:paraId="00000094">
            <w:pPr>
              <w:widowControl w:val="0"/>
              <w:spacing w:line="240" w:lineRule="auto"/>
              <w:jc w:val="left"/>
              <w:rPr/>
            </w:pPr>
            <w:r w:rsidDel="00000000" w:rsidR="00000000" w:rsidRPr="00000000">
              <w:rPr>
                <w:rtl w:val="0"/>
              </w:rPr>
              <w:t xml:space="preserve">Income</w:t>
            </w:r>
          </w:p>
        </w:tc>
        <w:tc>
          <w:tcPr>
            <w:tcBorders>
              <w:left w:color="000000" w:space="0" w:sz="0" w:val="nil"/>
              <w:bottom w:color="000000" w:space="0" w:sz="6" w:val="single"/>
              <w:right w:color="000000" w:space="0" w:sz="0" w:val="nil"/>
            </w:tcBorders>
            <w:tcMar>
              <w:top w:w="0.0" w:type="dxa"/>
              <w:left w:w="0.0" w:type="dxa"/>
              <w:bottom w:w="0.0" w:type="dxa"/>
              <w:right w:w="0.0" w:type="dxa"/>
            </w:tcMar>
          </w:tcPr>
          <w:p w:rsidR="00000000" w:rsidDel="00000000" w:rsidP="00000000" w:rsidRDefault="00000000" w:rsidRPr="00000000" w14:paraId="00000095">
            <w:pPr>
              <w:widowControl w:val="0"/>
              <w:spacing w:line="240" w:lineRule="auto"/>
              <w:jc w:val="center"/>
              <w:rPr/>
            </w:pPr>
            <w:r w:rsidDel="00000000" w:rsidR="00000000" w:rsidRPr="00000000">
              <w:rPr>
                <w:rtl w:val="0"/>
              </w:rPr>
              <w:t xml:space="preserve">Year</w:t>
            </w:r>
          </w:p>
        </w:tc>
      </w:tr>
      <w:tr>
        <w:trPr>
          <w:cantSplit w:val="0"/>
          <w:tblHeader w:val="0"/>
        </w:trPr>
        <w:tc>
          <w:tcPr>
            <w:tcBorders>
              <w:top w:color="000000" w:space="0" w:sz="6"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96">
            <w:pPr>
              <w:widowControl w:val="0"/>
              <w:spacing w:line="240" w:lineRule="auto"/>
              <w:jc w:val="left"/>
              <w:rPr/>
            </w:pPr>
            <w:r w:rsidDel="00000000" w:rsidR="00000000" w:rsidRPr="00000000">
              <w:rPr>
                <w:rtl w:val="0"/>
              </w:rPr>
              <w:t xml:space="preserve">High</w:t>
            </w:r>
          </w:p>
        </w:tc>
        <w:tc>
          <w:tcPr>
            <w:tcBorders>
              <w:top w:color="000000" w:space="0" w:sz="6"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97">
            <w:pPr>
              <w:widowControl w:val="0"/>
              <w:spacing w:line="240" w:lineRule="auto"/>
              <w:jc w:val="center"/>
              <w:rPr/>
            </w:pPr>
            <w:r w:rsidDel="00000000" w:rsidR="00000000" w:rsidRPr="00000000">
              <w:rPr>
                <w:rtl w:val="0"/>
              </w:rPr>
              <w:t xml:space="preserve">2040</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98">
            <w:pPr>
              <w:widowControl w:val="0"/>
              <w:spacing w:line="240" w:lineRule="auto"/>
              <w:jc w:val="left"/>
              <w:rPr/>
            </w:pPr>
            <w:r w:rsidDel="00000000" w:rsidR="00000000" w:rsidRPr="00000000">
              <w:rPr>
                <w:rtl w:val="0"/>
              </w:rPr>
              <w:t xml:space="preserve">Upper Mid</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99">
            <w:pPr>
              <w:widowControl w:val="0"/>
              <w:spacing w:line="240" w:lineRule="auto"/>
              <w:jc w:val="center"/>
              <w:rPr/>
            </w:pPr>
            <w:r w:rsidDel="00000000" w:rsidR="00000000" w:rsidRPr="00000000">
              <w:rPr>
                <w:rtl w:val="0"/>
              </w:rPr>
              <w:t xml:space="preserve">2056</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A">
            <w:pPr>
              <w:widowControl w:val="0"/>
              <w:spacing w:line="240" w:lineRule="auto"/>
              <w:jc w:val="left"/>
              <w:rPr/>
            </w:pPr>
            <w:r w:rsidDel="00000000" w:rsidR="00000000" w:rsidRPr="00000000">
              <w:rPr>
                <w:rtl w:val="0"/>
              </w:rPr>
              <w:t xml:space="preserve">Lower Mid</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B">
            <w:pPr>
              <w:widowControl w:val="0"/>
              <w:spacing w:line="240" w:lineRule="auto"/>
              <w:jc w:val="center"/>
              <w:rPr/>
            </w:pPr>
            <w:r w:rsidDel="00000000" w:rsidR="00000000" w:rsidRPr="00000000">
              <w:rPr>
                <w:rtl w:val="0"/>
              </w:rPr>
              <w:t xml:space="preserve">2079</w:t>
            </w:r>
          </w:p>
        </w:tc>
      </w:tr>
      <w:tr>
        <w:trPr>
          <w:cantSplit w:val="0"/>
          <w:tblHeader w:val="0"/>
        </w:trPr>
        <w:tc>
          <w:tcPr>
            <w:tcBorders>
              <w:top w:color="000000" w:space="0" w:sz="0" w:val="nil"/>
              <w:left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9C">
            <w:pPr>
              <w:widowControl w:val="0"/>
              <w:spacing w:line="240" w:lineRule="auto"/>
              <w:jc w:val="left"/>
              <w:rPr/>
            </w:pPr>
            <w:r w:rsidDel="00000000" w:rsidR="00000000" w:rsidRPr="00000000">
              <w:rPr>
                <w:rtl w:val="0"/>
              </w:rPr>
              <w:t xml:space="preserve">Low</w:t>
            </w:r>
          </w:p>
        </w:tc>
        <w:tc>
          <w:tcPr>
            <w:tcBorders>
              <w:top w:color="000000" w:space="0" w:sz="0" w:val="nil"/>
              <w:left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9D">
            <w:pPr>
              <w:widowControl w:val="0"/>
              <w:spacing w:line="240" w:lineRule="auto"/>
              <w:jc w:val="center"/>
              <w:rPr/>
            </w:pPr>
            <w:r w:rsidDel="00000000" w:rsidR="00000000" w:rsidRPr="00000000">
              <w:rPr>
                <w:rtl w:val="0"/>
              </w:rPr>
              <w:t xml:space="preserve">2089</w:t>
            </w:r>
          </w:p>
        </w:tc>
      </w:tr>
    </w:tbl>
    <w:p w:rsidR="00000000" w:rsidDel="00000000" w:rsidP="00000000" w:rsidRDefault="00000000" w:rsidRPr="00000000" w14:paraId="0000009E">
      <w:pPr>
        <w:spacing w:line="228" w:lineRule="auto"/>
        <w:ind w:left="2608" w:firstLine="0"/>
        <w:rPr/>
      </w:pPr>
      <w:r w:rsidDel="00000000" w:rsidR="00000000" w:rsidRPr="00000000">
        <w:rPr>
          <w:rtl w:val="0"/>
        </w:rPr>
      </w:r>
    </w:p>
    <w:p w:rsidR="00000000" w:rsidDel="00000000" w:rsidP="00000000" w:rsidRDefault="00000000" w:rsidRPr="00000000" w14:paraId="0000009F">
      <w:pPr>
        <w:spacing w:line="276" w:lineRule="auto"/>
        <w:ind w:left="2608" w:firstLine="0"/>
        <w:jc w:val="center"/>
        <w:rPr/>
      </w:pPr>
      <w:r w:rsidDel="00000000" w:rsidR="00000000" w:rsidRPr="00000000">
        <w:rPr>
          <w:b w:val="1"/>
          <w:rtl w:val="0"/>
        </w:rPr>
        <w:t xml:space="preserve">Table 3.</w:t>
      </w:r>
      <w:r w:rsidDel="00000000" w:rsidR="00000000" w:rsidRPr="00000000">
        <w:rPr>
          <w:rtl w:val="0"/>
        </w:rPr>
        <w:t xml:space="preserve"> Year prediction for each region to achieve </w:t>
      </w:r>
      <w:r w:rsidDel="00000000" w:rsidR="00000000" w:rsidRPr="00000000">
        <w:rPr>
          <w:i w:val="1"/>
          <w:rtl w:val="0"/>
        </w:rPr>
        <w:t xml:space="preserve">WBL Index</w:t>
      </w:r>
      <w:r w:rsidDel="00000000" w:rsidR="00000000" w:rsidRPr="00000000">
        <w:rPr>
          <w:rtl w:val="0"/>
        </w:rPr>
        <w:t xml:space="preserve"> = 100.</w:t>
      </w:r>
    </w:p>
    <w:tbl>
      <w:tblPr>
        <w:tblStyle w:val="Table4"/>
        <w:tblW w:w="3600.0" w:type="dxa"/>
        <w:jc w:val="left"/>
        <w:tblInd w:w="4767.8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720"/>
        <w:tblGridChange w:id="0">
          <w:tblGrid>
            <w:gridCol w:w="2880"/>
            <w:gridCol w:w="720"/>
          </w:tblGrid>
        </w:tblGridChange>
      </w:tblGrid>
      <w:tr>
        <w:trPr>
          <w:cantSplit w:val="0"/>
          <w:trHeight w:val="149.82421875" w:hRule="atLeast"/>
          <w:tblHeader w:val="0"/>
        </w:trPr>
        <w:tc>
          <w:tcPr>
            <w:tcBorders>
              <w:left w:color="000000" w:space="0" w:sz="0" w:val="nil"/>
              <w:bottom w:color="000000" w:space="0" w:sz="6" w:val="single"/>
              <w:right w:color="000000" w:space="0" w:sz="0" w:val="nil"/>
            </w:tcBorders>
            <w:tcMar>
              <w:top w:w="0.0" w:type="dxa"/>
              <w:left w:w="0.0" w:type="dxa"/>
              <w:bottom w:w="0.0" w:type="dxa"/>
              <w:right w:w="0.0" w:type="dxa"/>
            </w:tcMar>
          </w:tcPr>
          <w:p w:rsidR="00000000" w:rsidDel="00000000" w:rsidP="00000000" w:rsidRDefault="00000000" w:rsidRPr="00000000" w14:paraId="000000A0">
            <w:pPr>
              <w:widowControl w:val="0"/>
              <w:spacing w:line="240" w:lineRule="auto"/>
              <w:ind w:left="-2160" w:right="-2880" w:firstLine="0"/>
              <w:jc w:val="left"/>
              <w:rPr/>
            </w:pPr>
            <w:r w:rsidDel="00000000" w:rsidR="00000000" w:rsidRPr="00000000">
              <w:rPr>
                <w:rtl w:val="0"/>
              </w:rPr>
              <w:t xml:space="preserve">Region</w:t>
            </w:r>
          </w:p>
        </w:tc>
        <w:tc>
          <w:tcPr>
            <w:tcBorders>
              <w:left w:color="000000" w:space="0" w:sz="0" w:val="nil"/>
              <w:bottom w:color="000000" w:space="0" w:sz="6" w:val="single"/>
              <w:right w:color="000000" w:space="0" w:sz="0" w:val="nil"/>
            </w:tcBorders>
            <w:tcMar>
              <w:top w:w="0.0" w:type="dxa"/>
              <w:left w:w="0.0" w:type="dxa"/>
              <w:bottom w:w="0.0" w:type="dxa"/>
              <w:right w:w="0.0" w:type="dxa"/>
            </w:tcMar>
          </w:tcPr>
          <w:p w:rsidR="00000000" w:rsidDel="00000000" w:rsidP="00000000" w:rsidRDefault="00000000" w:rsidRPr="00000000" w14:paraId="000000A1">
            <w:pPr>
              <w:widowControl w:val="0"/>
              <w:spacing w:line="240" w:lineRule="auto"/>
              <w:jc w:val="center"/>
              <w:rPr/>
            </w:pPr>
            <w:r w:rsidDel="00000000" w:rsidR="00000000" w:rsidRPr="00000000">
              <w:rPr>
                <w:rtl w:val="0"/>
              </w:rPr>
              <w:t xml:space="preserve">Year</w:t>
            </w:r>
          </w:p>
        </w:tc>
      </w:tr>
      <w:tr>
        <w:trPr>
          <w:cantSplit w:val="0"/>
          <w:trHeight w:val="149.82421875" w:hRule="atLeast"/>
          <w:tblHeader w:val="0"/>
        </w:trPr>
        <w:tc>
          <w:tcPr>
            <w:tcBorders>
              <w:top w:color="000000" w:space="0" w:sz="6"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A2">
            <w:pPr>
              <w:widowControl w:val="0"/>
              <w:spacing w:line="240" w:lineRule="auto"/>
              <w:jc w:val="left"/>
              <w:rPr/>
            </w:pPr>
            <w:r w:rsidDel="00000000" w:rsidR="00000000" w:rsidRPr="00000000">
              <w:rPr>
                <w:rtl w:val="0"/>
              </w:rPr>
              <w:t xml:space="preserve">High Income: OECD</w:t>
            </w:r>
          </w:p>
        </w:tc>
        <w:tc>
          <w:tcPr>
            <w:tcBorders>
              <w:top w:color="000000" w:space="0" w:sz="6"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A3">
            <w:pPr>
              <w:widowControl w:val="0"/>
              <w:spacing w:line="240" w:lineRule="auto"/>
              <w:jc w:val="center"/>
              <w:rPr/>
            </w:pPr>
            <w:r w:rsidDel="00000000" w:rsidR="00000000" w:rsidRPr="00000000">
              <w:rPr>
                <w:rtl w:val="0"/>
              </w:rPr>
              <w:t xml:space="preserve">2024</w:t>
            </w:r>
          </w:p>
        </w:tc>
      </w:tr>
      <w:tr>
        <w:trPr>
          <w:cantSplit w:val="0"/>
          <w:trHeight w:val="149.8242187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A4">
            <w:pPr>
              <w:widowControl w:val="0"/>
              <w:spacing w:line="240" w:lineRule="auto"/>
              <w:jc w:val="left"/>
              <w:rPr/>
            </w:pPr>
            <w:r w:rsidDel="00000000" w:rsidR="00000000" w:rsidRPr="00000000">
              <w:rPr>
                <w:rtl w:val="0"/>
              </w:rPr>
              <w:t xml:space="preserve">Latin America &amp; Caribbean</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A5">
            <w:pPr>
              <w:widowControl w:val="0"/>
              <w:spacing w:line="240" w:lineRule="auto"/>
              <w:jc w:val="center"/>
              <w:rPr/>
            </w:pPr>
            <w:r w:rsidDel="00000000" w:rsidR="00000000" w:rsidRPr="00000000">
              <w:rPr>
                <w:rtl w:val="0"/>
              </w:rPr>
              <w:t xml:space="preserve">2047</w:t>
            </w:r>
          </w:p>
        </w:tc>
      </w:tr>
      <w:tr>
        <w:trPr>
          <w:cantSplit w:val="0"/>
          <w:trHeight w:val="149.8242187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A6">
            <w:pPr>
              <w:widowControl w:val="0"/>
              <w:spacing w:line="240" w:lineRule="auto"/>
              <w:jc w:val="left"/>
              <w:rPr/>
            </w:pPr>
            <w:r w:rsidDel="00000000" w:rsidR="00000000" w:rsidRPr="00000000">
              <w:rPr>
                <w:rtl w:val="0"/>
              </w:rPr>
              <w:t xml:space="preserve">Europe &amp; Central Asia</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A7">
            <w:pPr>
              <w:widowControl w:val="0"/>
              <w:spacing w:line="240" w:lineRule="auto"/>
              <w:jc w:val="center"/>
              <w:rPr/>
            </w:pPr>
            <w:r w:rsidDel="00000000" w:rsidR="00000000" w:rsidRPr="00000000">
              <w:rPr>
                <w:rtl w:val="0"/>
              </w:rPr>
              <w:t xml:space="preserve">2049</w:t>
            </w:r>
          </w:p>
        </w:tc>
      </w:tr>
      <w:tr>
        <w:trPr>
          <w:cantSplit w:val="0"/>
          <w:trHeight w:val="149.8242187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A8">
            <w:pPr>
              <w:widowControl w:val="0"/>
              <w:spacing w:line="240" w:lineRule="auto"/>
              <w:jc w:val="left"/>
              <w:rPr/>
            </w:pPr>
            <w:r w:rsidDel="00000000" w:rsidR="00000000" w:rsidRPr="00000000">
              <w:rPr>
                <w:rtl w:val="0"/>
              </w:rPr>
              <w:t xml:space="preserve">Sub-Saharan Africa</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A9">
            <w:pPr>
              <w:widowControl w:val="0"/>
              <w:spacing w:line="240" w:lineRule="auto"/>
              <w:jc w:val="center"/>
              <w:rPr/>
            </w:pPr>
            <w:r w:rsidDel="00000000" w:rsidR="00000000" w:rsidRPr="00000000">
              <w:rPr>
                <w:rtl w:val="0"/>
              </w:rPr>
              <w:t xml:space="preserve">2067</w:t>
            </w:r>
          </w:p>
        </w:tc>
      </w:tr>
      <w:tr>
        <w:trPr>
          <w:cantSplit w:val="0"/>
          <w:trHeight w:val="149.8242187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AA">
            <w:pPr>
              <w:widowControl w:val="0"/>
              <w:spacing w:line="240" w:lineRule="auto"/>
              <w:jc w:val="left"/>
              <w:rPr/>
            </w:pPr>
            <w:r w:rsidDel="00000000" w:rsidR="00000000" w:rsidRPr="00000000">
              <w:rPr>
                <w:rtl w:val="0"/>
              </w:rPr>
              <w:t xml:space="preserve">East Asia &amp; Pacific</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AB">
            <w:pPr>
              <w:widowControl w:val="0"/>
              <w:spacing w:line="240" w:lineRule="auto"/>
              <w:jc w:val="center"/>
              <w:rPr/>
            </w:pPr>
            <w:r w:rsidDel="00000000" w:rsidR="00000000" w:rsidRPr="00000000">
              <w:rPr>
                <w:rtl w:val="0"/>
              </w:rPr>
              <w:t xml:space="preserve">2083</w:t>
            </w:r>
          </w:p>
        </w:tc>
      </w:tr>
      <w:tr>
        <w:trPr>
          <w:cantSplit w:val="0"/>
          <w:trHeight w:val="149.8242187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AC">
            <w:pPr>
              <w:widowControl w:val="0"/>
              <w:spacing w:line="240" w:lineRule="auto"/>
              <w:jc w:val="left"/>
              <w:rPr/>
            </w:pPr>
            <w:r w:rsidDel="00000000" w:rsidR="00000000" w:rsidRPr="00000000">
              <w:rPr>
                <w:rtl w:val="0"/>
              </w:rPr>
              <w:t xml:space="preserve">South Asia</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AD">
            <w:pPr>
              <w:widowControl w:val="0"/>
              <w:spacing w:line="240" w:lineRule="auto"/>
              <w:jc w:val="center"/>
              <w:rPr/>
            </w:pPr>
            <w:r w:rsidDel="00000000" w:rsidR="00000000" w:rsidRPr="00000000">
              <w:rPr>
                <w:rtl w:val="0"/>
              </w:rPr>
              <w:t xml:space="preserve">2134</w:t>
            </w:r>
          </w:p>
        </w:tc>
      </w:tr>
      <w:tr>
        <w:trPr>
          <w:cantSplit w:val="0"/>
          <w:trHeight w:val="149.82421875" w:hRule="atLeast"/>
          <w:tblHeader w:val="0"/>
        </w:trPr>
        <w:tc>
          <w:tcPr>
            <w:tcBorders>
              <w:top w:color="000000" w:space="0" w:sz="0" w:val="nil"/>
              <w:left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AE">
            <w:pPr>
              <w:widowControl w:val="0"/>
              <w:spacing w:line="240" w:lineRule="auto"/>
              <w:jc w:val="left"/>
              <w:rPr/>
            </w:pPr>
            <w:r w:rsidDel="00000000" w:rsidR="00000000" w:rsidRPr="00000000">
              <w:rPr>
                <w:rtl w:val="0"/>
              </w:rPr>
              <w:t xml:space="preserve">Middle East &amp; North Africa</w:t>
            </w:r>
          </w:p>
        </w:tc>
        <w:tc>
          <w:tcPr>
            <w:tcBorders>
              <w:top w:color="000000" w:space="0" w:sz="0" w:val="nil"/>
              <w:left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AF">
            <w:pPr>
              <w:widowControl w:val="0"/>
              <w:spacing w:line="240" w:lineRule="auto"/>
              <w:jc w:val="center"/>
              <w:rPr/>
            </w:pPr>
            <w:r w:rsidDel="00000000" w:rsidR="00000000" w:rsidRPr="00000000">
              <w:rPr>
                <w:rtl w:val="0"/>
              </w:rPr>
              <w:t xml:space="preserve">2167</w:t>
            </w:r>
          </w:p>
        </w:tc>
      </w:tr>
    </w:tbl>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0" w:right="0" w:firstLine="0"/>
        <w:jc w:val="both"/>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b w:val="1"/>
        </w:rPr>
      </w:pPr>
      <w:r w:rsidDel="00000000" w:rsidR="00000000" w:rsidRPr="00000000">
        <w:rPr>
          <w:b w:val="1"/>
          <w:rtl w:val="0"/>
        </w:rPr>
        <w:t xml:space="preserve">3.2.3. </w:t>
      </w:r>
      <w:r w:rsidDel="00000000" w:rsidR="00000000" w:rsidRPr="00000000">
        <w:rPr>
          <w:b w:val="1"/>
          <w:i w:val="1"/>
          <w:rtl w:val="0"/>
        </w:rPr>
        <w:t xml:space="preserve">WeData</w:t>
      </w:r>
      <w:r w:rsidDel="00000000" w:rsidR="00000000" w:rsidRPr="00000000">
        <w:rPr>
          <w:b w:val="1"/>
          <w:rtl w:val="0"/>
        </w:rPr>
        <w:t xml:space="preserve"> Data Set Analysis</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271.9999999999999"/>
        <w:jc w:val="both"/>
        <w:rPr/>
      </w:pPr>
      <w:r w:rsidDel="00000000" w:rsidR="00000000" w:rsidRPr="00000000">
        <w:rPr>
          <w:rtl w:val="0"/>
        </w:rPr>
        <w:t xml:space="preserve">Finally, we merged the </w:t>
      </w:r>
      <w:r w:rsidDel="00000000" w:rsidR="00000000" w:rsidRPr="00000000">
        <w:rPr>
          <w:i w:val="1"/>
          <w:rtl w:val="0"/>
        </w:rPr>
        <w:t xml:space="preserve">WeData</w:t>
      </w:r>
      <w:r w:rsidDel="00000000" w:rsidR="00000000" w:rsidRPr="00000000">
        <w:rPr>
          <w:rtl w:val="0"/>
        </w:rPr>
        <w:t xml:space="preserve"> data set with </w:t>
      </w:r>
      <w:r w:rsidDel="00000000" w:rsidR="00000000" w:rsidRPr="00000000">
        <w:rPr>
          <w:i w:val="1"/>
          <w:rtl w:val="0"/>
        </w:rPr>
        <w:t xml:space="preserve">WBL</w:t>
      </w:r>
      <w:r w:rsidDel="00000000" w:rsidR="00000000" w:rsidRPr="00000000">
        <w:rPr>
          <w:rtl w:val="0"/>
        </w:rPr>
        <w:t xml:space="preserve"> to analyze the trends for each group regarding the three variables registered in </w:t>
      </w:r>
      <w:r w:rsidDel="00000000" w:rsidR="00000000" w:rsidRPr="00000000">
        <w:rPr>
          <w:i w:val="1"/>
          <w:rtl w:val="0"/>
        </w:rPr>
        <w:t xml:space="preserve">WeData</w:t>
      </w:r>
      <w:r w:rsidDel="00000000" w:rsidR="00000000" w:rsidRPr="00000000">
        <w:rPr>
          <w:rtl w:val="0"/>
        </w:rPr>
        <w:t xml:space="preserve">: proportion of female ownership, proportion of female business directors and proportion of female sole-proprietorship. It is important to note that the economies in </w:t>
      </w:r>
      <w:r w:rsidDel="00000000" w:rsidR="00000000" w:rsidRPr="00000000">
        <w:rPr>
          <w:i w:val="1"/>
          <w:rtl w:val="0"/>
        </w:rPr>
        <w:t xml:space="preserve">WeData</w:t>
      </w:r>
      <w:r w:rsidDel="00000000" w:rsidR="00000000" w:rsidRPr="00000000">
        <w:rPr>
          <w:rtl w:val="0"/>
        </w:rPr>
        <w:t xml:space="preserve"> consist of a subset of the economies in </w:t>
      </w:r>
      <w:r w:rsidDel="00000000" w:rsidR="00000000" w:rsidRPr="00000000">
        <w:rPr>
          <w:i w:val="1"/>
          <w:rtl w:val="0"/>
        </w:rPr>
        <w:t xml:space="preserve">WBL</w:t>
      </w:r>
      <w:r w:rsidDel="00000000" w:rsidR="00000000" w:rsidRPr="00000000">
        <w:rPr>
          <w:rtl w:val="0"/>
        </w:rPr>
        <w:t xml:space="preserve">. Therefore, while it is possible to assign each economy in </w:t>
      </w:r>
      <w:r w:rsidDel="00000000" w:rsidR="00000000" w:rsidRPr="00000000">
        <w:rPr>
          <w:i w:val="1"/>
          <w:rtl w:val="0"/>
        </w:rPr>
        <w:t xml:space="preserve">WeData</w:t>
      </w:r>
      <w:r w:rsidDel="00000000" w:rsidR="00000000" w:rsidRPr="00000000">
        <w:rPr>
          <w:rtl w:val="0"/>
        </w:rPr>
        <w:t xml:space="preserve"> an income level, a region and cluster labels, the resulting trends will be incomplete, as many countries are not present in </w:t>
      </w:r>
      <w:r w:rsidDel="00000000" w:rsidR="00000000" w:rsidRPr="00000000">
        <w:rPr>
          <w:i w:val="1"/>
          <w:rtl w:val="0"/>
        </w:rPr>
        <w:t xml:space="preserve">WeData</w:t>
      </w:r>
      <w:r w:rsidDel="00000000" w:rsidR="00000000" w:rsidRPr="00000000">
        <w:rPr>
          <w:rtl w:val="0"/>
        </w:rPr>
        <w:t xml:space="preserve">.</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271.9999999999999"/>
        <w:jc w:val="both"/>
        <w:rPr/>
      </w:pPr>
      <w:r w:rsidDel="00000000" w:rsidR="00000000" w:rsidRPr="00000000">
        <w:rPr>
          <w:rtl w:val="0"/>
        </w:rPr>
        <w:t xml:space="preserve">Still, it is possible to differentiate the groups with some clarity, as may be seen in Figure 8, especially in the 2-group cluster separation presented in the bottom row of the plot grid. When split by income level, the only group that shows an increase in female participation in businesses are the </w:t>
      </w:r>
      <w:r w:rsidDel="00000000" w:rsidR="00000000" w:rsidRPr="00000000">
        <w:rPr>
          <w:i w:val="1"/>
          <w:rtl w:val="0"/>
        </w:rPr>
        <w:t xml:space="preserve">low</w:t>
      </w:r>
      <w:r w:rsidDel="00000000" w:rsidR="00000000" w:rsidRPr="00000000">
        <w:rPr>
          <w:rtl w:val="0"/>
        </w:rPr>
        <w:t xml:space="preserve"> income economies, specifically after 2018. Interestingly, the trends for most regions and clusters are quite flat, signifying that these proportions are very culturally embedded and are specific to each region.</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271.9999999999999"/>
        <w:jc w:val="both"/>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271.9999999999999"/>
        <w:jc w:val="both"/>
        <w:rPr/>
      </w:pPr>
      <w:r w:rsidDel="00000000" w:rsidR="00000000" w:rsidRPr="00000000">
        <w:rPr>
          <w:rtl w:val="0"/>
        </w:rPr>
        <w:t xml:space="preserve">When analyzed by region, the middle row in Figure 8, </w:t>
      </w:r>
      <w:r w:rsidDel="00000000" w:rsidR="00000000" w:rsidRPr="00000000">
        <w:rPr>
          <w:i w:val="1"/>
          <w:rtl w:val="0"/>
        </w:rPr>
        <w:t xml:space="preserve">Latin America &amp; Caribbean</w:t>
      </w:r>
      <w:r w:rsidDel="00000000" w:rsidR="00000000" w:rsidRPr="00000000">
        <w:rPr>
          <w:rtl w:val="0"/>
        </w:rPr>
        <w:t xml:space="preserve"> and </w:t>
      </w:r>
      <w:r w:rsidDel="00000000" w:rsidR="00000000" w:rsidRPr="00000000">
        <w:rPr>
          <w:i w:val="1"/>
          <w:rtl w:val="0"/>
        </w:rPr>
        <w:t xml:space="preserve">Europe &amp; Central Asia</w:t>
      </w:r>
      <w:r w:rsidDel="00000000" w:rsidR="00000000" w:rsidRPr="00000000">
        <w:rPr>
          <w:rtl w:val="0"/>
        </w:rPr>
        <w:t xml:space="preserve"> lead the female participation in these strategic positions, even outperforming the </w:t>
      </w:r>
      <w:r w:rsidDel="00000000" w:rsidR="00000000" w:rsidRPr="00000000">
        <w:rPr>
          <w:i w:val="1"/>
          <w:rtl w:val="0"/>
        </w:rPr>
        <w:t xml:space="preserve">High Income: OECD</w:t>
      </w:r>
      <w:r w:rsidDel="00000000" w:rsidR="00000000" w:rsidRPr="00000000">
        <w:rPr>
          <w:rtl w:val="0"/>
        </w:rPr>
        <w:t xml:space="preserve"> economies, while </w:t>
      </w:r>
      <w:r w:rsidDel="00000000" w:rsidR="00000000" w:rsidRPr="00000000">
        <w:rPr>
          <w:i w:val="1"/>
          <w:rtl w:val="0"/>
        </w:rPr>
        <w:t xml:space="preserve">South Asia</w:t>
      </w:r>
      <w:r w:rsidDel="00000000" w:rsidR="00000000" w:rsidRPr="00000000">
        <w:rPr>
          <w:rtl w:val="0"/>
        </w:rPr>
        <w:t xml:space="preserve"> lags behind every other region.</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pPr>
      <w:r w:rsidDel="00000000" w:rsidR="00000000" w:rsidRPr="00000000">
        <w:rPr/>
        <w:drawing>
          <wp:inline distB="114300" distT="114300" distL="114300" distR="114300">
            <wp:extent cx="4980463" cy="3446366"/>
            <wp:effectExtent b="0" l="0" r="0" t="0"/>
            <wp:docPr id="18"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4980463" cy="3446366"/>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center"/>
        <w:rPr/>
      </w:pPr>
      <w:r w:rsidDel="00000000" w:rsidR="00000000" w:rsidRPr="00000000">
        <w:rPr>
          <w:b w:val="1"/>
          <w:rtl w:val="0"/>
        </w:rPr>
        <w:t xml:space="preserve">Figure 8.</w:t>
      </w:r>
      <w:r w:rsidDel="00000000" w:rsidR="00000000" w:rsidRPr="00000000">
        <w:rPr>
          <w:rtl w:val="0"/>
        </w:rPr>
        <w:t xml:space="preserve"> Female proportion of ownership, directing and being sole-proprietors</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center"/>
        <w:rPr/>
      </w:pPr>
      <w:r w:rsidDel="00000000" w:rsidR="00000000" w:rsidRPr="00000000">
        <w:rPr>
          <w:rtl w:val="0"/>
        </w:rPr>
        <w:t xml:space="preserve">by </w:t>
      </w:r>
      <w:r w:rsidDel="00000000" w:rsidR="00000000" w:rsidRPr="00000000">
        <w:rPr>
          <w:i w:val="1"/>
          <w:rtl w:val="0"/>
        </w:rPr>
        <w:t xml:space="preserve">Income</w:t>
      </w:r>
      <w:r w:rsidDel="00000000" w:rsidR="00000000" w:rsidRPr="00000000">
        <w:rPr>
          <w:rtl w:val="0"/>
        </w:rPr>
        <w:t xml:space="preserve">, </w:t>
      </w:r>
      <w:r w:rsidDel="00000000" w:rsidR="00000000" w:rsidRPr="00000000">
        <w:rPr>
          <w:i w:val="1"/>
          <w:rtl w:val="0"/>
        </w:rPr>
        <w:t xml:space="preserve">Region</w:t>
      </w:r>
      <w:r w:rsidDel="00000000" w:rsidR="00000000" w:rsidRPr="00000000">
        <w:rPr>
          <w:rtl w:val="0"/>
        </w:rPr>
        <w:t xml:space="preserve">, and </w:t>
      </w:r>
      <w:r w:rsidDel="00000000" w:rsidR="00000000" w:rsidRPr="00000000">
        <w:rPr>
          <w:i w:val="1"/>
          <w:rtl w:val="0"/>
        </w:rPr>
        <w:t xml:space="preserve">Cluster (K = 2)</w:t>
      </w:r>
      <w:r w:rsidDel="00000000" w:rsidR="00000000" w:rsidRPr="00000000">
        <w:rPr>
          <w:rtl w:val="0"/>
        </w:rPr>
        <w:t xml:space="preserve">, with 95% confidence intervals</w:t>
      </w:r>
      <w:r w:rsidDel="00000000" w:rsidR="00000000" w:rsidRPr="00000000">
        <w:rPr>
          <w:rtl w:val="0"/>
        </w:rPr>
        <w:t xml:space="preserve">.</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0"/>
        <w:jc w:val="both"/>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28" w:lineRule="auto"/>
        <w:ind w:left="2608"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4. Discussion</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425"/>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bookmarkStart w:colFirst="0" w:colLast="0" w:name="_heading=h.30j0zll" w:id="0"/>
      <w:bookmarkEnd w:id="0"/>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Author</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28" w:lineRule="auto"/>
        <w:ind w:left="2608"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5. Conclusions</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425"/>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This </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2608" w:right="0" w:firstLine="425"/>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8" w:lineRule="auto"/>
        <w:ind w:left="2608" w:right="0" w:firstLine="0"/>
        <w:jc w:val="both"/>
        <w:rPr>
          <w:rFonts w:ascii="Palatino Linotype" w:cs="Palatino Linotype" w:eastAsia="Palatino Linotype" w:hAnsi="Palatino Linotype"/>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Author Contributions:</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Conceptualization, Ana Beatriz Hernandez-Lara, Antonia Terán-Bustamante and Sandra Nelly Leyva-Hernández and; Data curation, Sandra Nelly Leyva-Hernández, and Vladimiro González-Zelaya; Formal analysis, Sandra Nelly Leyva-Hernández, Antonia Terán-Bustamante, Paola Miriam Arango-Ramírez and Vladimiro González-Zelaya; Investigation, Sandra Nelly Leyva-Hernández and Antonia Terán-Bustamante; Methodology, Antonia Terán-Bustamante, Paola Miriam Arango-Ramírez and Vladimiro González-Zelaya; Project administration, Sandra Nelly Leyva-Hernández and Antonia Terán-Bustamante; Resources, Sandra Nelly Leyva-Hernández and Antonia Terán-Bustamante; Software, Sandra Nelly Leyva-Hernández, Paola Miriam Arango-Ramírez and Vladimiro González-Zelaya; Supervision, Antonia Terán-Bustamante; Validation, Sandra Nelly Leyva-Hernández, Paola Miriam Arango-Ramírez and Vladimiro González-Zelaya; Visualization, Sandra Nelly Leyva-Hernández and Vladimiro González-Zelaya; Writing – original draft, Sandra Nelly Leyva-Hernández, Antonia Terán-Bustamante, Paola Miriam Arango-Ramírez and Vladimiro González-Zelaya; Writing – review &amp; editing, Sandra Nelly Leyva-Hernández and Antonia Terán-Bustamante. </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8" w:lineRule="auto"/>
        <w:ind w:left="2608" w:right="0" w:firstLine="0"/>
        <w:jc w:val="both"/>
        <w:rPr>
          <w:rFonts w:ascii="Palatino Linotype" w:cs="Palatino Linotype" w:eastAsia="Palatino Linotype" w:hAnsi="Palatino Linotype"/>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Funding:</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This research received no external funding</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8" w:lineRule="auto"/>
        <w:ind w:left="2608" w:right="0" w:firstLine="0"/>
        <w:jc w:val="both"/>
        <w:rPr>
          <w:rFonts w:ascii="Palatino Linotype" w:cs="Palatino Linotype" w:eastAsia="Palatino Linotype" w:hAnsi="Palatino Linotype"/>
          <w:b w:val="1"/>
          <w:i w:val="0"/>
          <w:smallCaps w:val="0"/>
          <w:strike w:val="0"/>
          <w:color w:val="000000"/>
          <w:sz w:val="18"/>
          <w:szCs w:val="18"/>
          <w:u w:val="none"/>
          <w:shd w:fill="auto" w:val="clear"/>
          <w:vertAlign w:val="baseline"/>
        </w:rPr>
      </w:pPr>
      <w:bookmarkStart w:colFirst="0" w:colLast="0" w:name="_heading=h.1fob9te" w:id="1"/>
      <w:bookmarkEnd w:id="1"/>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Institutional Review Board Statement: </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Not applicable</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28" w:lineRule="auto"/>
        <w:ind w:left="0"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References</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0" w:right="0" w:firstLine="0"/>
        <w:jc w:val="both"/>
        <w:rPr>
          <w:sz w:val="18"/>
          <w:szCs w:val="18"/>
        </w:rPr>
      </w:pPr>
      <w:r w:rsidDel="00000000" w:rsidR="00000000" w:rsidRPr="00000000">
        <w:rPr>
          <w:sz w:val="18"/>
          <w:szCs w:val="18"/>
          <w:rtl w:val="0"/>
        </w:rPr>
        <w:t xml:space="preserve">(Greenacre 2017) Greenacre, M. (2017). Correspondence Analysis in Practice. CRC Press.</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0" w:right="0" w:firstLine="0"/>
        <w:jc w:val="both"/>
        <w:rPr>
          <w:sz w:val="18"/>
          <w:szCs w:val="18"/>
        </w:rPr>
      </w:pPr>
      <w:r w:rsidDel="00000000" w:rsidR="00000000" w:rsidRPr="00000000">
        <w:rPr>
          <w:sz w:val="18"/>
          <w:szCs w:val="18"/>
          <w:rtl w:val="0"/>
        </w:rPr>
        <w:t xml:space="preserve">(Shahapure et al. 2020) Shahapure, K. R., &amp; Nicholas, C. (2020, October). Cluster Quality Analysis Using Silhouette Score. In 2020 IEEE 7th International Conference on Data Science and Advanced Analytics (DSAA) (pp. 747-748). IEEE.</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0" w:right="0" w:firstLine="720"/>
        <w:jc w:val="both"/>
        <w:rPr>
          <w:sz w:val="18"/>
          <w:szCs w:val="18"/>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0" w:right="0" w:firstLine="0"/>
        <w:jc w:val="both"/>
        <w:rPr>
          <w:sz w:val="18"/>
          <w:szCs w:val="18"/>
        </w:rPr>
      </w:pPr>
      <w:r w:rsidDel="00000000" w:rsidR="00000000" w:rsidRPr="00000000">
        <w:rPr>
          <w:sz w:val="18"/>
          <w:szCs w:val="18"/>
          <w:rtl w:val="0"/>
        </w:rPr>
        <w:t xml:space="preserve">(Syakur et al. 2018) Syakur, M. A., Khotimah, B. K., Rochman, E. M. S., &amp; Satoto, B. D. (2018, April). Integration K-Means Clustering Method and Elbow Method for Identification of the Best Customer Profile Cluster. In IOP Conference Series: Materials Science and Engineering (Vol. 336, p. 012017). IOP Publishing.</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425" w:right="0" w:hanging="425"/>
        <w:jc w:val="both"/>
        <w:rPr>
          <w:sz w:val="18"/>
          <w:szCs w:val="18"/>
        </w:rPr>
      </w:pPr>
      <w:r w:rsidDel="00000000" w:rsidR="00000000" w:rsidRPr="00000000">
        <w:rPr>
          <w:rtl w:val="0"/>
        </w:rPr>
      </w:r>
    </w:p>
    <w:p w:rsidR="00000000" w:rsidDel="00000000" w:rsidP="00000000" w:rsidRDefault="00000000" w:rsidRPr="00000000" w14:paraId="000000CD">
      <w:pPr>
        <w:spacing w:line="228" w:lineRule="auto"/>
        <w:ind w:left="425"/>
        <w:rPr>
          <w:sz w:val="18"/>
          <w:szCs w:val="18"/>
        </w:rPr>
      </w:pPr>
      <w:r w:rsidDel="00000000" w:rsidR="00000000" w:rsidRPr="00000000">
        <w:rPr>
          <w:sz w:val="18"/>
          <w:szCs w:val="18"/>
          <w:rtl w:val="0"/>
        </w:rPr>
        <w:t xml:space="preserve">(World Bank 2021) World Bank. (2021). Entrepreneurship Database 2021. Washington, DC: World Bank.</w:t>
      </w:r>
    </w:p>
    <w:p w:rsidR="00000000" w:rsidDel="00000000" w:rsidP="00000000" w:rsidRDefault="00000000" w:rsidRPr="00000000" w14:paraId="000000CE">
      <w:pPr>
        <w:spacing w:line="228" w:lineRule="auto"/>
        <w:ind w:left="425"/>
        <w:rPr>
          <w:sz w:val="18"/>
          <w:szCs w:val="18"/>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425" w:right="0" w:hanging="425"/>
        <w:jc w:val="both"/>
        <w:rPr>
          <w:sz w:val="18"/>
          <w:szCs w:val="18"/>
        </w:rPr>
      </w:pPr>
      <w:r w:rsidDel="00000000" w:rsidR="00000000" w:rsidRPr="00000000">
        <w:rPr>
          <w:sz w:val="18"/>
          <w:szCs w:val="18"/>
          <w:rtl w:val="0"/>
        </w:rPr>
        <w:t xml:space="preserve">(World Bank 2023) World Bank. (2023). Women, Business and the Law 2023. Washington, DC: World Bank.</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8" w:lineRule="auto"/>
        <w:ind w:left="0" w:right="0" w:firstLine="0"/>
        <w:jc w:val="both"/>
        <w:rPr>
          <w:rFonts w:ascii="Palatino Linotype" w:cs="Palatino Linotype" w:eastAsia="Palatino Linotype" w:hAnsi="Palatino Linotyp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28" w:lineRule="auto"/>
        <w:ind w:left="0" w:right="0" w:firstLine="0"/>
        <w:jc w:val="both"/>
        <w:rPr>
          <w:rFonts w:ascii="Palatino Linotype" w:cs="Palatino Linotype" w:eastAsia="Palatino Linotype" w:hAnsi="Palatino Linotype"/>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Disclaimer/Publisher’s Note:</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headerReference r:id="rId18" w:type="default"/>
      <w:headerReference r:id="rId19" w:type="first"/>
      <w:headerReference r:id="rId20" w:type="even"/>
      <w:footerReference r:id="rId21" w:type="default"/>
      <w:footerReference r:id="rId22" w:type="first"/>
      <w:pgSz w:h="16838" w:w="11906" w:orient="portrait"/>
      <w:pgMar w:bottom="1077" w:top="1417" w:left="720" w:right="720" w:header="1020" w:footer="3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pBdr>
        <w:top w:color="000000" w:space="0" w:sz="4" w:val="single"/>
      </w:pBdr>
      <w:tabs>
        <w:tab w:val="right" w:leader="none" w:pos="8844"/>
      </w:tabs>
      <w:spacing w:before="480" w:line="100" w:lineRule="auto"/>
      <w:jc w:val="left"/>
      <w:rPr>
        <w:i w:val="1"/>
        <w:sz w:val="16"/>
        <w:szCs w:val="16"/>
      </w:rPr>
    </w:pPr>
    <w:r w:rsidDel="00000000" w:rsidR="00000000" w:rsidRPr="00000000">
      <w:rPr>
        <w:rtl w:val="0"/>
      </w:rPr>
    </w:r>
  </w:p>
  <w:p w:rsidR="00000000" w:rsidDel="00000000" w:rsidP="00000000" w:rsidRDefault="00000000" w:rsidRPr="00000000" w14:paraId="000000DC">
    <w:pPr>
      <w:tabs>
        <w:tab w:val="right" w:leader="none" w:pos="10466"/>
      </w:tabs>
      <w:spacing w:line="240" w:lineRule="auto"/>
      <w:rPr>
        <w:sz w:val="16"/>
        <w:szCs w:val="16"/>
      </w:rPr>
    </w:pPr>
    <w:r w:rsidDel="00000000" w:rsidR="00000000" w:rsidRPr="00000000">
      <w:rPr>
        <w:i w:val="1"/>
        <w:sz w:val="16"/>
        <w:szCs w:val="16"/>
        <w:rtl w:val="0"/>
      </w:rPr>
      <w:t xml:space="preserve">Soc. Sci. </w:t>
    </w:r>
    <w:r w:rsidDel="00000000" w:rsidR="00000000" w:rsidRPr="00000000">
      <w:rPr>
        <w:b w:val="1"/>
        <w:sz w:val="16"/>
        <w:szCs w:val="16"/>
        <w:rtl w:val="0"/>
      </w:rPr>
      <w:t xml:space="preserve">2023</w:t>
    </w:r>
    <w:r w:rsidDel="00000000" w:rsidR="00000000" w:rsidRPr="00000000">
      <w:rPr>
        <w:sz w:val="16"/>
        <w:szCs w:val="16"/>
        <w:rtl w:val="0"/>
      </w:rPr>
      <w:t xml:space="preserve">,</w:t>
    </w:r>
    <w:r w:rsidDel="00000000" w:rsidR="00000000" w:rsidRPr="00000000">
      <w:rPr>
        <w:i w:val="1"/>
        <w:sz w:val="16"/>
        <w:szCs w:val="16"/>
        <w:rtl w:val="0"/>
      </w:rPr>
      <w:t xml:space="preserve"> 12</w:t>
    </w:r>
    <w:r w:rsidDel="00000000" w:rsidR="00000000" w:rsidRPr="00000000">
      <w:rPr>
        <w:sz w:val="16"/>
        <w:szCs w:val="16"/>
        <w:rtl w:val="0"/>
      </w:rPr>
      <w:t xml:space="preserve">, x. https://doi.org/10.3390/xxxxx</w:t>
      <w:tab/>
      <w:t xml:space="preserve">www.mdpi.com/journal/socsci</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DD">
      <w:pPr>
        <w:rPr/>
      </w:pPr>
      <w:r w:rsidDel="00000000" w:rsidR="00000000" w:rsidRPr="00000000">
        <w:rPr>
          <w:rStyle w:val="FootnoteReference"/>
          <w:vertAlign w:val="superscript"/>
        </w:rPr>
        <w:footnoteRef/>
      </w:r>
      <w:r w:rsidDel="00000000" w:rsidR="00000000" w:rsidRPr="00000000">
        <w:rPr>
          <w:rtl w:val="0"/>
        </w:rPr>
        <w:t xml:space="preserve"> Our code is available at </w:t>
      </w:r>
      <w:hyperlink r:id="rId1">
        <w:r w:rsidDel="00000000" w:rsidR="00000000" w:rsidRPr="00000000">
          <w:rPr>
            <w:color w:val="1155cc"/>
            <w:u w:val="single"/>
            <w:rtl w:val="0"/>
          </w:rPr>
          <w:t xml:space="preserve">https://github.com/vladoxNCL/WBL_paper/blob/main/WBL_Analysis.ipynb</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tabs>
        <w:tab w:val="right" w:leader="none" w:pos="10466"/>
      </w:tabs>
      <w:spacing w:line="240" w:lineRule="auto"/>
      <w:rPr>
        <w:sz w:val="16"/>
        <w:szCs w:val="16"/>
      </w:rPr>
    </w:pPr>
    <w:r w:rsidDel="00000000" w:rsidR="00000000" w:rsidRPr="00000000">
      <w:rPr>
        <w:i w:val="1"/>
        <w:sz w:val="16"/>
        <w:szCs w:val="16"/>
        <w:rtl w:val="0"/>
      </w:rPr>
      <w:t xml:space="preserve">Soc. Sci. </w:t>
    </w:r>
    <w:r w:rsidDel="00000000" w:rsidR="00000000" w:rsidRPr="00000000">
      <w:rPr>
        <w:b w:val="1"/>
        <w:sz w:val="16"/>
        <w:szCs w:val="16"/>
        <w:rtl w:val="0"/>
      </w:rPr>
      <w:t xml:space="preserve">2023</w:t>
    </w:r>
    <w:r w:rsidDel="00000000" w:rsidR="00000000" w:rsidRPr="00000000">
      <w:rPr>
        <w:sz w:val="16"/>
        <w:szCs w:val="16"/>
        <w:rtl w:val="0"/>
      </w:rPr>
      <w:t xml:space="preserve">,</w:t>
    </w:r>
    <w:r w:rsidDel="00000000" w:rsidR="00000000" w:rsidRPr="00000000">
      <w:rPr>
        <w:i w:val="1"/>
        <w:sz w:val="16"/>
        <w:szCs w:val="16"/>
        <w:rtl w:val="0"/>
      </w:rPr>
      <w:t xml:space="preserve"> 12</w:t>
    </w:r>
    <w:r w:rsidDel="00000000" w:rsidR="00000000" w:rsidRPr="00000000">
      <w:rPr>
        <w:sz w:val="16"/>
        <w:szCs w:val="16"/>
        <w:rtl w:val="0"/>
      </w:rPr>
      <w:t xml:space="preserve">, x FOR PEER REVIEW</w:t>
      <w:tab/>
    </w:r>
    <w:r w:rsidDel="00000000" w:rsidR="00000000" w:rsidRPr="00000000">
      <w:rPr>
        <w:sz w:val="16"/>
        <w:szCs w:val="16"/>
      </w:rPr>
      <w:fldChar w:fldCharType="begin"/>
      <w:instrText xml:space="preserve">PAGE</w:instrText>
      <w:fldChar w:fldCharType="separate"/>
      <w:fldChar w:fldCharType="end"/>
    </w:r>
    <w:r w:rsidDel="00000000" w:rsidR="00000000" w:rsidRPr="00000000">
      <w:rPr>
        <w:sz w:val="16"/>
        <w:szCs w:val="16"/>
        <w:rtl w:val="0"/>
      </w:rPr>
      <w:t xml:space="preserve"> of </w:t>
    </w:r>
    <w:r w:rsidDel="00000000" w:rsidR="00000000" w:rsidRPr="00000000">
      <w:rPr>
        <w:sz w:val="16"/>
        <w:szCs w:val="16"/>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D3">
    <w:pPr>
      <w:pBdr>
        <w:bottom w:color="000000" w:space="1" w:sz="4" w:val="single"/>
      </w:pBdr>
      <w:tabs>
        <w:tab w:val="right" w:leader="none" w:pos="8844"/>
      </w:tabs>
      <w:spacing w:after="480" w:line="100" w:lineRule="auto"/>
      <w:jc w:val="left"/>
      <w:rPr>
        <w:sz w:val="16"/>
        <w:szCs w:val="1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keepNext w:val="0"/>
      <w:keepLines w:val="0"/>
      <w:pageBreakBefore w:val="0"/>
      <w:widowControl w:val="1"/>
      <w:pBdr>
        <w:top w:space="0" w:sz="0" w:val="nil"/>
        <w:left w:space="0" w:sz="0" w:val="nil"/>
        <w:bottom w:color="000000" w:space="0" w:sz="0" w:val="none"/>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10602.0" w:type="dxa"/>
      <w:jc w:val="left"/>
      <w:tblLayout w:type="fixed"/>
      <w:tblLook w:val="0400"/>
    </w:tblPr>
    <w:tblGrid>
      <w:gridCol w:w="3796"/>
      <w:gridCol w:w="4533"/>
      <w:gridCol w:w="2273"/>
      <w:tblGridChange w:id="0">
        <w:tblGrid>
          <w:gridCol w:w="3796"/>
          <w:gridCol w:w="4533"/>
          <w:gridCol w:w="2273"/>
        </w:tblGrid>
      </w:tblGridChange>
    </w:tblGrid>
    <w:tr>
      <w:trPr>
        <w:cantSplit w:val="0"/>
        <w:trHeight w:val="686" w:hRule="atLeast"/>
        <w:tblHeader w:val="0"/>
      </w:trPr>
      <w:tc>
        <w:tcPr>
          <w:shd w:fill="auto" w:val="clear"/>
          <w:vAlign w:val="center"/>
        </w:tcPr>
        <w:p w:rsidR="00000000" w:rsidDel="00000000" w:rsidP="00000000" w:rsidRDefault="00000000" w:rsidRPr="00000000" w14:paraId="000000D6">
          <w:pPr>
            <w:keepNext w:val="0"/>
            <w:keepLines w:val="0"/>
            <w:pageBreakBefore w:val="0"/>
            <w:widowControl w:val="1"/>
            <w:pBdr>
              <w:top w:space="0" w:sz="0" w:val="nil"/>
              <w:left w:space="0" w:sz="0" w:val="nil"/>
              <w:bottom w:color="000000" w:space="0" w:sz="0" w:val="none"/>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Pr>
            <w:drawing>
              <wp:inline distB="0" distT="0" distL="0" distR="0">
                <wp:extent cx="2410460" cy="429260"/>
                <wp:effectExtent b="0" l="0" r="0" t="0"/>
                <wp:docPr descr="C:\Users\home\AppData\Local\Temp\HZ$D.661.3548\socsci-logo.png" id="17" name="image3.png"/>
                <a:graphic>
                  <a:graphicData uri="http://schemas.openxmlformats.org/drawingml/2006/picture">
                    <pic:pic>
                      <pic:nvPicPr>
                        <pic:cNvPr descr="C:\Users\home\AppData\Local\Temp\HZ$D.661.3548\socsci-logo.png" id="0" name="image3.png"/>
                        <pic:cNvPicPr preferRelativeResize="0"/>
                      </pic:nvPicPr>
                      <pic:blipFill>
                        <a:blip r:embed="rId1"/>
                        <a:srcRect b="0" l="0" r="0" t="0"/>
                        <a:stretch>
                          <a:fillRect/>
                        </a:stretch>
                      </pic:blipFill>
                      <pic:spPr>
                        <a:xfrm>
                          <a:off x="0" y="0"/>
                          <a:ext cx="2410460" cy="429260"/>
                        </a:xfrm>
                        <a:prstGeom prst="rect"/>
                        <a:ln/>
                      </pic:spPr>
                    </pic:pic>
                  </a:graphicData>
                </a:graphic>
              </wp:inline>
            </w:drawing>
          </w:r>
          <w:r w:rsidDel="00000000" w:rsidR="00000000" w:rsidRPr="00000000">
            <w:rPr>
              <w:rtl w:val="0"/>
            </w:rPr>
          </w:r>
        </w:p>
      </w:tc>
      <w:tc>
        <w:tcPr>
          <w:shd w:fill="auto" w:val="clear"/>
          <w:vAlign w:val="center"/>
        </w:tcPr>
        <w:p w:rsidR="00000000" w:rsidDel="00000000" w:rsidP="00000000" w:rsidRDefault="00000000" w:rsidRPr="00000000" w14:paraId="000000D7">
          <w:pPr>
            <w:keepNext w:val="0"/>
            <w:keepLines w:val="0"/>
            <w:pageBreakBefore w:val="0"/>
            <w:widowControl w:val="1"/>
            <w:pBdr>
              <w:top w:space="0" w:sz="0" w:val="nil"/>
              <w:left w:space="0" w:sz="0" w:val="nil"/>
              <w:bottom w:color="000000" w:space="0" w:sz="0" w:val="none"/>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D8">
          <w:pPr>
            <w:keepNext w:val="0"/>
            <w:keepLines w:val="0"/>
            <w:pageBreakBefore w:val="0"/>
            <w:widowControl w:val="1"/>
            <w:pBdr>
              <w:top w:space="0" w:sz="0" w:val="nil"/>
              <w:left w:space="0" w:sz="0" w:val="nil"/>
              <w:bottom w:color="000000" w:space="0" w:sz="0" w:val="none"/>
              <w:right w:space="0" w:sz="0" w:val="nil"/>
              <w:between w:space="0" w:sz="0" w:val="nil"/>
            </w:pBdr>
            <w:shd w:fill="auto" w:val="clear"/>
            <w:tabs>
              <w:tab w:val="center" w:leader="none" w:pos="4153"/>
              <w:tab w:val="right" w:leader="none" w:pos="8306"/>
            </w:tabs>
            <w:spacing w:after="0" w:before="0" w:line="240" w:lineRule="auto"/>
            <w:ind w:left="0" w:right="0" w:firstLine="0"/>
            <w:jc w:val="righ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Pr>
            <w:drawing>
              <wp:inline distB="0" distT="0" distL="0" distR="0">
                <wp:extent cx="540000" cy="360000"/>
                <wp:effectExtent b="0" l="0" r="0" t="0"/>
                <wp:docPr id="16" name="image11.png"/>
                <a:graphic>
                  <a:graphicData uri="http://schemas.openxmlformats.org/drawingml/2006/picture">
                    <pic:pic>
                      <pic:nvPicPr>
                        <pic:cNvPr id="0" name="image11.png"/>
                        <pic:cNvPicPr preferRelativeResize="0"/>
                      </pic:nvPicPr>
                      <pic:blipFill>
                        <a:blip r:embed="rId2"/>
                        <a:srcRect b="0" l="0" r="0" t="0"/>
                        <a:stretch>
                          <a:fillRect/>
                        </a:stretch>
                      </pic:blipFill>
                      <pic:spPr>
                        <a:xfrm>
                          <a:off x="0" y="0"/>
                          <a:ext cx="540000" cy="36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9">
    <w:pPr>
      <w:pBdr>
        <w:bottom w:color="000000" w:space="1" w:sz="4" w:val="single"/>
      </w:pBdr>
      <w:spacing w:line="100" w:lineRule="auto"/>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2">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alatino Linotype" w:cs="Palatino Linotype" w:eastAsia="Palatino Linotype" w:hAnsi="Palatino Linotype"/>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53145"/>
    <w:pPr>
      <w:spacing w:line="260" w:lineRule="atLeast"/>
      <w:jc w:val="both"/>
    </w:pPr>
    <w:rPr>
      <w:rFonts w:ascii="Palatino Linotype" w:hAnsi="Palatino Linotype"/>
      <w:noProof w:val="1"/>
      <w:color w:val="00000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MDPI11articletype" w:customStyle="1">
    <w:name w:val="MDPI_1.1_article_type"/>
    <w:next w:val="Normal"/>
    <w:qFormat w:val="1"/>
    <w:rsid w:val="00C53145"/>
    <w:pPr>
      <w:adjustRightInd w:val="0"/>
      <w:snapToGrid w:val="0"/>
      <w:spacing w:before="240"/>
    </w:pPr>
    <w:rPr>
      <w:rFonts w:ascii="Palatino Linotype" w:eastAsia="Times New Roman" w:hAnsi="Palatino Linotype"/>
      <w:i w:val="1"/>
      <w:snapToGrid w:val="0"/>
      <w:color w:val="000000"/>
      <w:szCs w:val="22"/>
      <w:lang w:bidi="en-US" w:eastAsia="de-DE"/>
    </w:rPr>
  </w:style>
  <w:style w:type="paragraph" w:styleId="MDPI12title" w:customStyle="1">
    <w:name w:val="MDPI_1.2_title"/>
    <w:next w:val="Normal"/>
    <w:qFormat w:val="1"/>
    <w:rsid w:val="00C53145"/>
    <w:pPr>
      <w:adjustRightInd w:val="0"/>
      <w:snapToGrid w:val="0"/>
      <w:spacing w:after="240" w:line="240" w:lineRule="atLeast"/>
    </w:pPr>
    <w:rPr>
      <w:rFonts w:ascii="Palatino Linotype" w:eastAsia="Times New Roman" w:hAnsi="Palatino Linotype"/>
      <w:b w:val="1"/>
      <w:snapToGrid w:val="0"/>
      <w:color w:val="000000"/>
      <w:sz w:val="36"/>
      <w:lang w:bidi="en-US" w:eastAsia="de-DE"/>
    </w:rPr>
  </w:style>
  <w:style w:type="paragraph" w:styleId="MDPI13authornames" w:customStyle="1">
    <w:name w:val="MDPI_1.3_authornames"/>
    <w:next w:val="Normal"/>
    <w:qFormat w:val="1"/>
    <w:rsid w:val="00C53145"/>
    <w:pPr>
      <w:adjustRightInd w:val="0"/>
      <w:snapToGrid w:val="0"/>
      <w:spacing w:after="360" w:line="260" w:lineRule="atLeast"/>
    </w:pPr>
    <w:rPr>
      <w:rFonts w:ascii="Palatino Linotype" w:eastAsia="Times New Roman" w:hAnsi="Palatino Linotype"/>
      <w:b w:val="1"/>
      <w:color w:val="000000"/>
      <w:szCs w:val="22"/>
      <w:lang w:bidi="en-US" w:eastAsia="de-DE"/>
    </w:rPr>
  </w:style>
  <w:style w:type="paragraph" w:styleId="MDPI14history" w:customStyle="1">
    <w:name w:val="MDPI_1.4_history"/>
    <w:basedOn w:val="Normal"/>
    <w:next w:val="Normal"/>
    <w:qFormat w:val="1"/>
    <w:rsid w:val="00C53145"/>
    <w:pPr>
      <w:adjustRightInd w:val="0"/>
      <w:snapToGrid w:val="0"/>
      <w:spacing w:line="240" w:lineRule="atLeast"/>
      <w:ind w:right="113"/>
      <w:jc w:val="left"/>
    </w:pPr>
    <w:rPr>
      <w:rFonts w:eastAsia="Times New Roman"/>
      <w:noProof w:val="0"/>
      <w:sz w:val="14"/>
      <w:lang w:bidi="en-US" w:eastAsia="de-DE"/>
    </w:rPr>
  </w:style>
  <w:style w:type="paragraph" w:styleId="MDPI16affiliation" w:customStyle="1">
    <w:name w:val="MDPI_1.6_affiliation"/>
    <w:qFormat w:val="1"/>
    <w:rsid w:val="00C53145"/>
    <w:pPr>
      <w:adjustRightInd w:val="0"/>
      <w:snapToGrid w:val="0"/>
      <w:spacing w:line="200" w:lineRule="atLeast"/>
      <w:ind w:left="2806" w:hanging="198"/>
    </w:pPr>
    <w:rPr>
      <w:rFonts w:ascii="Palatino Linotype" w:eastAsia="Times New Roman" w:hAnsi="Palatino Linotype"/>
      <w:color w:val="000000"/>
      <w:sz w:val="16"/>
      <w:szCs w:val="18"/>
      <w:lang w:bidi="en-US" w:eastAsia="de-DE"/>
    </w:rPr>
  </w:style>
  <w:style w:type="paragraph" w:styleId="MDPI17abstract" w:customStyle="1">
    <w:name w:val="MDPI_1.7_abstract"/>
    <w:next w:val="Normal"/>
    <w:qFormat w:val="1"/>
    <w:rsid w:val="00C53145"/>
    <w:pPr>
      <w:adjustRightInd w:val="0"/>
      <w:snapToGrid w:val="0"/>
      <w:spacing w:before="240" w:line="260" w:lineRule="atLeast"/>
      <w:ind w:left="2608"/>
      <w:jc w:val="both"/>
    </w:pPr>
    <w:rPr>
      <w:rFonts w:ascii="Palatino Linotype" w:eastAsia="Times New Roman" w:hAnsi="Palatino Linotype"/>
      <w:color w:val="000000"/>
      <w:sz w:val="18"/>
      <w:szCs w:val="22"/>
      <w:lang w:bidi="en-US" w:eastAsia="de-DE"/>
    </w:rPr>
  </w:style>
  <w:style w:type="paragraph" w:styleId="MDPI18keywords" w:customStyle="1">
    <w:name w:val="MDPI_1.8_keywords"/>
    <w:next w:val="Normal"/>
    <w:qFormat w:val="1"/>
    <w:rsid w:val="00C53145"/>
    <w:pPr>
      <w:adjustRightInd w:val="0"/>
      <w:snapToGrid w:val="0"/>
      <w:spacing w:before="240" w:line="260" w:lineRule="atLeast"/>
      <w:ind w:left="2608"/>
      <w:jc w:val="both"/>
    </w:pPr>
    <w:rPr>
      <w:rFonts w:ascii="Palatino Linotype" w:eastAsia="Times New Roman" w:hAnsi="Palatino Linotype"/>
      <w:snapToGrid w:val="0"/>
      <w:color w:val="000000"/>
      <w:sz w:val="18"/>
      <w:szCs w:val="22"/>
      <w:lang w:bidi="en-US" w:eastAsia="de-DE"/>
    </w:rPr>
  </w:style>
  <w:style w:type="paragraph" w:styleId="MDPI19line" w:customStyle="1">
    <w:name w:val="MDPI_1.9_line"/>
    <w:qFormat w:val="1"/>
    <w:rsid w:val="00C53145"/>
    <w:pPr>
      <w:pBdr>
        <w:bottom w:color="auto" w:space="1" w:sz="6" w:val="single"/>
      </w:pBdr>
      <w:adjustRightInd w:val="0"/>
      <w:snapToGrid w:val="0"/>
      <w:spacing w:after="480" w:line="260" w:lineRule="atLeast"/>
      <w:ind w:left="2608"/>
      <w:jc w:val="both"/>
    </w:pPr>
    <w:rPr>
      <w:rFonts w:ascii="Palatino Linotype" w:cs="Cordia New" w:eastAsia="Times New Roman" w:hAnsi="Palatino Linotype"/>
      <w:color w:val="000000"/>
      <w:szCs w:val="24"/>
      <w:lang w:bidi="en-US" w:eastAsia="de-DE"/>
    </w:rPr>
  </w:style>
  <w:style w:type="paragraph" w:styleId="Mdeck2authorcorrespondence" w:customStyle="1">
    <w:name w:val="M_deck_2_author_correspondence"/>
    <w:qFormat w:val="1"/>
    <w:rsid w:val="009450AE"/>
    <w:pPr>
      <w:kinsoku w:val="0"/>
      <w:overflowPunct w:val="0"/>
      <w:autoSpaceDE w:val="0"/>
      <w:autoSpaceDN w:val="0"/>
      <w:adjustRightInd w:val="0"/>
      <w:snapToGrid w:val="0"/>
      <w:spacing w:line="200" w:lineRule="atLeast"/>
      <w:ind w:left="311" w:hanging="198"/>
    </w:pPr>
    <w:rPr>
      <w:rFonts w:ascii="Palatino Linotype" w:eastAsia="Times New Roman" w:hAnsi="Palatino Linotype"/>
      <w:snapToGrid w:val="0"/>
      <w:color w:val="000000"/>
      <w:sz w:val="18"/>
      <w:lang w:bidi="en-US" w:eastAsia="de-DE"/>
    </w:rPr>
  </w:style>
  <w:style w:type="paragraph" w:styleId="Piedepgina">
    <w:name w:val="footer"/>
    <w:basedOn w:val="Normal"/>
    <w:link w:val="PiedepginaCar"/>
    <w:uiPriority w:val="99"/>
    <w:rsid w:val="00C53145"/>
    <w:pPr>
      <w:tabs>
        <w:tab w:val="center" w:pos="4153"/>
        <w:tab w:val="right" w:pos="8306"/>
      </w:tabs>
      <w:snapToGrid w:val="0"/>
      <w:spacing w:line="240" w:lineRule="atLeast"/>
    </w:pPr>
    <w:rPr>
      <w:szCs w:val="18"/>
    </w:rPr>
  </w:style>
  <w:style w:type="character" w:styleId="PiedepginaCar" w:customStyle="1">
    <w:name w:val="Pie de página Car"/>
    <w:link w:val="Piedepgina"/>
    <w:uiPriority w:val="99"/>
    <w:rsid w:val="00C53145"/>
    <w:rPr>
      <w:rFonts w:ascii="Palatino Linotype" w:hAnsi="Palatino Linotype"/>
      <w:noProof w:val="1"/>
      <w:color w:val="000000"/>
      <w:szCs w:val="18"/>
    </w:rPr>
  </w:style>
  <w:style w:type="paragraph" w:styleId="Encabezado">
    <w:name w:val="header"/>
    <w:basedOn w:val="Normal"/>
    <w:link w:val="EncabezadoCar"/>
    <w:uiPriority w:val="99"/>
    <w:rsid w:val="00C53145"/>
    <w:pPr>
      <w:pBdr>
        <w:bottom w:color="auto" w:space="1" w:sz="6" w:val="single"/>
      </w:pBdr>
      <w:tabs>
        <w:tab w:val="center" w:pos="4153"/>
        <w:tab w:val="right" w:pos="8306"/>
      </w:tabs>
      <w:snapToGrid w:val="0"/>
      <w:spacing w:line="240" w:lineRule="atLeast"/>
      <w:jc w:val="center"/>
    </w:pPr>
    <w:rPr>
      <w:szCs w:val="18"/>
    </w:rPr>
  </w:style>
  <w:style w:type="character" w:styleId="EncabezadoCar" w:customStyle="1">
    <w:name w:val="Encabezado Car"/>
    <w:link w:val="Encabezado"/>
    <w:uiPriority w:val="99"/>
    <w:rsid w:val="00C53145"/>
    <w:rPr>
      <w:rFonts w:ascii="Palatino Linotype" w:hAnsi="Palatino Linotype"/>
      <w:noProof w:val="1"/>
      <w:color w:val="000000"/>
      <w:szCs w:val="18"/>
    </w:rPr>
  </w:style>
  <w:style w:type="paragraph" w:styleId="MDPIheaderjournallogo" w:customStyle="1">
    <w:name w:val="MDPI_header_journal_logo"/>
    <w:qFormat w:val="1"/>
    <w:rsid w:val="00C53145"/>
    <w:pPr>
      <w:adjustRightInd w:val="0"/>
      <w:snapToGrid w:val="0"/>
      <w:spacing w:line="260" w:lineRule="atLeast"/>
      <w:jc w:val="both"/>
    </w:pPr>
    <w:rPr>
      <w:rFonts w:ascii="Palatino Linotype" w:eastAsia="Times New Roman" w:hAnsi="Palatino Linotype"/>
      <w:i w:val="1"/>
      <w:color w:val="000000"/>
      <w:sz w:val="24"/>
      <w:szCs w:val="22"/>
      <w:lang w:eastAsia="de-CH"/>
    </w:rPr>
  </w:style>
  <w:style w:type="paragraph" w:styleId="MDPI32textnoindent" w:customStyle="1">
    <w:name w:val="MDPI_3.2_text_no_indent"/>
    <w:basedOn w:val="MDPI31text"/>
    <w:qFormat w:val="1"/>
    <w:rsid w:val="00C53145"/>
    <w:pPr>
      <w:ind w:firstLine="0"/>
    </w:pPr>
  </w:style>
  <w:style w:type="paragraph" w:styleId="MDPI31text" w:customStyle="1">
    <w:name w:val="MDPI_3.1_text"/>
    <w:qFormat w:val="1"/>
    <w:rsid w:val="00D43A11"/>
    <w:pPr>
      <w:adjustRightInd w:val="0"/>
      <w:snapToGrid w:val="0"/>
      <w:spacing w:line="228" w:lineRule="auto"/>
      <w:ind w:left="2608" w:firstLine="425"/>
      <w:jc w:val="both"/>
    </w:pPr>
    <w:rPr>
      <w:rFonts w:ascii="Palatino Linotype" w:eastAsia="Times New Roman" w:hAnsi="Palatino Linotype"/>
      <w:snapToGrid w:val="0"/>
      <w:color w:val="000000"/>
      <w:szCs w:val="22"/>
      <w:lang w:bidi="en-US" w:eastAsia="de-DE"/>
    </w:rPr>
  </w:style>
  <w:style w:type="paragraph" w:styleId="MDPI33textspaceafter" w:customStyle="1">
    <w:name w:val="MDPI_3.3_text_space_after"/>
    <w:qFormat w:val="1"/>
    <w:rsid w:val="00C53145"/>
    <w:pPr>
      <w:adjustRightInd w:val="0"/>
      <w:snapToGrid w:val="0"/>
      <w:spacing w:after="240" w:line="228" w:lineRule="auto"/>
      <w:ind w:left="2608"/>
      <w:jc w:val="both"/>
    </w:pPr>
    <w:rPr>
      <w:rFonts w:ascii="Palatino Linotype" w:eastAsia="Times New Roman" w:hAnsi="Palatino Linotype"/>
      <w:snapToGrid w:val="0"/>
      <w:color w:val="000000"/>
      <w:szCs w:val="22"/>
      <w:lang w:bidi="en-US" w:eastAsia="de-DE"/>
    </w:rPr>
  </w:style>
  <w:style w:type="paragraph" w:styleId="MDPI34textspacebefore" w:customStyle="1">
    <w:name w:val="MDPI_3.4_text_space_before"/>
    <w:qFormat w:val="1"/>
    <w:rsid w:val="00C53145"/>
    <w:pPr>
      <w:adjustRightInd w:val="0"/>
      <w:snapToGrid w:val="0"/>
      <w:spacing w:before="240" w:line="228" w:lineRule="auto"/>
      <w:ind w:left="2608"/>
      <w:jc w:val="both"/>
    </w:pPr>
    <w:rPr>
      <w:rFonts w:ascii="Palatino Linotype" w:eastAsia="Times New Roman" w:hAnsi="Palatino Linotype"/>
      <w:snapToGrid w:val="0"/>
      <w:color w:val="000000"/>
      <w:szCs w:val="22"/>
      <w:lang w:bidi="en-US" w:eastAsia="de-DE"/>
    </w:rPr>
  </w:style>
  <w:style w:type="paragraph" w:styleId="MDPI35textbeforelist" w:customStyle="1">
    <w:name w:val="MDPI_3.5_text_before_list"/>
    <w:qFormat w:val="1"/>
    <w:rsid w:val="00C53145"/>
    <w:pPr>
      <w:adjustRightInd w:val="0"/>
      <w:snapToGrid w:val="0"/>
      <w:spacing w:line="228" w:lineRule="auto"/>
      <w:ind w:left="2608" w:firstLine="425"/>
      <w:jc w:val="both"/>
    </w:pPr>
    <w:rPr>
      <w:rFonts w:ascii="Palatino Linotype" w:eastAsia="Times New Roman" w:hAnsi="Palatino Linotype"/>
      <w:snapToGrid w:val="0"/>
      <w:color w:val="000000"/>
      <w:szCs w:val="22"/>
      <w:lang w:bidi="en-US" w:eastAsia="de-DE"/>
    </w:rPr>
  </w:style>
  <w:style w:type="paragraph" w:styleId="MDPI36textafterlist" w:customStyle="1">
    <w:name w:val="MDPI_3.6_text_after_list"/>
    <w:qFormat w:val="1"/>
    <w:rsid w:val="00C53145"/>
    <w:pPr>
      <w:adjustRightInd w:val="0"/>
      <w:snapToGrid w:val="0"/>
      <w:spacing w:before="120" w:line="228" w:lineRule="auto"/>
      <w:ind w:left="2608"/>
      <w:jc w:val="both"/>
    </w:pPr>
    <w:rPr>
      <w:rFonts w:ascii="Palatino Linotype" w:eastAsia="Times New Roman" w:hAnsi="Palatino Linotype"/>
      <w:snapToGrid w:val="0"/>
      <w:color w:val="000000"/>
      <w:szCs w:val="22"/>
      <w:lang w:bidi="en-US" w:eastAsia="de-DE"/>
    </w:rPr>
  </w:style>
  <w:style w:type="paragraph" w:styleId="MDPI37itemize" w:customStyle="1">
    <w:name w:val="MDPI_3.7_itemize"/>
    <w:qFormat w:val="1"/>
    <w:rsid w:val="00566E5E"/>
    <w:pPr>
      <w:numPr>
        <w:numId w:val="21"/>
      </w:numPr>
      <w:adjustRightInd w:val="0"/>
      <w:snapToGrid w:val="0"/>
      <w:spacing w:line="228" w:lineRule="auto"/>
      <w:jc w:val="both"/>
    </w:pPr>
    <w:rPr>
      <w:rFonts w:ascii="Palatino Linotype" w:eastAsia="Times New Roman" w:hAnsi="Palatino Linotype"/>
      <w:color w:val="000000"/>
      <w:szCs w:val="22"/>
      <w:lang w:bidi="en-US" w:eastAsia="de-DE"/>
    </w:rPr>
  </w:style>
  <w:style w:type="paragraph" w:styleId="MDPI38bullet" w:customStyle="1">
    <w:name w:val="MDPI_3.8_bullet"/>
    <w:qFormat w:val="1"/>
    <w:rsid w:val="00566E5E"/>
    <w:pPr>
      <w:numPr>
        <w:numId w:val="22"/>
      </w:numPr>
      <w:adjustRightInd w:val="0"/>
      <w:snapToGrid w:val="0"/>
      <w:spacing w:line="228" w:lineRule="auto"/>
      <w:jc w:val="both"/>
    </w:pPr>
    <w:rPr>
      <w:rFonts w:ascii="Palatino Linotype" w:eastAsia="Times New Roman" w:hAnsi="Palatino Linotype"/>
      <w:color w:val="000000"/>
      <w:szCs w:val="22"/>
      <w:lang w:bidi="en-US" w:eastAsia="de-DE"/>
    </w:rPr>
  </w:style>
  <w:style w:type="paragraph" w:styleId="MDPI39equation" w:customStyle="1">
    <w:name w:val="MDPI_3.9_equation"/>
    <w:qFormat w:val="1"/>
    <w:rsid w:val="00C53145"/>
    <w:pPr>
      <w:adjustRightInd w:val="0"/>
      <w:snapToGrid w:val="0"/>
      <w:spacing w:after="120" w:before="120" w:line="260" w:lineRule="atLeast"/>
      <w:ind w:left="709"/>
      <w:jc w:val="center"/>
    </w:pPr>
    <w:rPr>
      <w:rFonts w:ascii="Palatino Linotype" w:eastAsia="Times New Roman" w:hAnsi="Palatino Linotype"/>
      <w:snapToGrid w:val="0"/>
      <w:color w:val="000000"/>
      <w:szCs w:val="22"/>
      <w:lang w:bidi="en-US" w:eastAsia="de-DE"/>
    </w:rPr>
  </w:style>
  <w:style w:type="paragraph" w:styleId="MDPI3aequationnumber" w:customStyle="1">
    <w:name w:val="MDPI_3.a_equation_number"/>
    <w:qFormat w:val="1"/>
    <w:rsid w:val="00C53145"/>
    <w:pPr>
      <w:spacing w:after="120" w:before="120"/>
      <w:jc w:val="right"/>
    </w:pPr>
    <w:rPr>
      <w:rFonts w:ascii="Palatino Linotype" w:eastAsia="Times New Roman" w:hAnsi="Palatino Linotype"/>
      <w:snapToGrid w:val="0"/>
      <w:color w:val="000000"/>
      <w:szCs w:val="22"/>
      <w:lang w:bidi="en-US" w:eastAsia="de-DE"/>
    </w:rPr>
  </w:style>
  <w:style w:type="paragraph" w:styleId="MDPI41tablecaption" w:customStyle="1">
    <w:name w:val="MDPI_4.1_table_caption"/>
    <w:qFormat w:val="1"/>
    <w:rsid w:val="00C53145"/>
    <w:pPr>
      <w:adjustRightInd w:val="0"/>
      <w:snapToGrid w:val="0"/>
      <w:spacing w:after="120" w:before="240" w:line="228" w:lineRule="auto"/>
      <w:ind w:left="2608"/>
      <w:jc w:val="both"/>
    </w:pPr>
    <w:rPr>
      <w:rFonts w:ascii="Palatino Linotype" w:cs="Cordia New" w:eastAsia="Times New Roman" w:hAnsi="Palatino Linotype"/>
      <w:color w:val="000000"/>
      <w:sz w:val="18"/>
      <w:szCs w:val="22"/>
      <w:lang w:bidi="en-US" w:eastAsia="de-DE"/>
    </w:rPr>
  </w:style>
  <w:style w:type="paragraph" w:styleId="MDPI42tablebody" w:customStyle="1">
    <w:name w:val="MDPI_4.2_table_body"/>
    <w:qFormat w:val="1"/>
    <w:rsid w:val="00CF70F6"/>
    <w:pPr>
      <w:adjustRightInd w:val="0"/>
      <w:snapToGrid w:val="0"/>
      <w:spacing w:line="260" w:lineRule="atLeast"/>
      <w:jc w:val="center"/>
    </w:pPr>
    <w:rPr>
      <w:rFonts w:ascii="Palatino Linotype" w:eastAsia="Times New Roman" w:hAnsi="Palatino Linotype"/>
      <w:snapToGrid w:val="0"/>
      <w:color w:val="000000"/>
      <w:lang w:bidi="en-US" w:eastAsia="de-DE"/>
    </w:rPr>
  </w:style>
  <w:style w:type="paragraph" w:styleId="MDPI43tablefooter" w:customStyle="1">
    <w:name w:val="MDPI_4.3_table_footer"/>
    <w:next w:val="MDPI31text"/>
    <w:qFormat w:val="1"/>
    <w:rsid w:val="00C53145"/>
    <w:pPr>
      <w:adjustRightInd w:val="0"/>
      <w:snapToGrid w:val="0"/>
      <w:spacing w:line="228" w:lineRule="auto"/>
      <w:ind w:left="2608"/>
      <w:jc w:val="both"/>
    </w:pPr>
    <w:rPr>
      <w:rFonts w:ascii="Palatino Linotype" w:cs="Cordia New" w:eastAsia="Times New Roman" w:hAnsi="Palatino Linotype"/>
      <w:color w:val="000000"/>
      <w:sz w:val="18"/>
      <w:szCs w:val="22"/>
      <w:lang w:bidi="en-US" w:eastAsia="de-DE"/>
    </w:rPr>
  </w:style>
  <w:style w:type="paragraph" w:styleId="MDPI51figurecaption" w:customStyle="1">
    <w:name w:val="MDPI_5.1_figure_caption"/>
    <w:qFormat w:val="1"/>
    <w:rsid w:val="00C53145"/>
    <w:pPr>
      <w:adjustRightInd w:val="0"/>
      <w:snapToGrid w:val="0"/>
      <w:spacing w:after="240" w:before="120" w:line="228" w:lineRule="auto"/>
      <w:ind w:left="2608"/>
      <w:jc w:val="both"/>
    </w:pPr>
    <w:rPr>
      <w:rFonts w:ascii="Palatino Linotype" w:eastAsia="Times New Roman" w:hAnsi="Palatino Linotype"/>
      <w:color w:val="000000"/>
      <w:sz w:val="18"/>
      <w:lang w:bidi="en-US" w:eastAsia="de-DE"/>
    </w:rPr>
  </w:style>
  <w:style w:type="paragraph" w:styleId="MDPI52figure" w:customStyle="1">
    <w:name w:val="MDPI_5.2_figure"/>
    <w:qFormat w:val="1"/>
    <w:rsid w:val="00C53145"/>
    <w:pPr>
      <w:adjustRightInd w:val="0"/>
      <w:snapToGrid w:val="0"/>
      <w:spacing w:after="120" w:before="240"/>
      <w:jc w:val="center"/>
    </w:pPr>
    <w:rPr>
      <w:rFonts w:ascii="Palatino Linotype" w:eastAsia="Times New Roman" w:hAnsi="Palatino Linotype"/>
      <w:snapToGrid w:val="0"/>
      <w:color w:val="000000"/>
      <w:lang w:bidi="en-US" w:eastAsia="de-DE"/>
    </w:rPr>
  </w:style>
  <w:style w:type="paragraph" w:styleId="MDPI81theorem" w:customStyle="1">
    <w:name w:val="MDPI_8.1_theorem"/>
    <w:qFormat w:val="1"/>
    <w:rsid w:val="00C53145"/>
    <w:pPr>
      <w:adjustRightInd w:val="0"/>
      <w:snapToGrid w:val="0"/>
      <w:spacing w:line="228" w:lineRule="auto"/>
      <w:ind w:left="2608"/>
      <w:jc w:val="both"/>
    </w:pPr>
    <w:rPr>
      <w:rFonts w:ascii="Palatino Linotype" w:eastAsia="Times New Roman" w:hAnsi="Palatino Linotype"/>
      <w:i w:val="1"/>
      <w:snapToGrid w:val="0"/>
      <w:color w:val="000000"/>
      <w:szCs w:val="22"/>
      <w:lang w:bidi="en-US" w:eastAsia="de-DE"/>
    </w:rPr>
  </w:style>
  <w:style w:type="paragraph" w:styleId="MDPI82proof" w:customStyle="1">
    <w:name w:val="MDPI_8.2_proof"/>
    <w:qFormat w:val="1"/>
    <w:rsid w:val="00C53145"/>
    <w:pPr>
      <w:adjustRightInd w:val="0"/>
      <w:snapToGrid w:val="0"/>
      <w:spacing w:line="228" w:lineRule="auto"/>
      <w:ind w:left="2608"/>
      <w:jc w:val="both"/>
    </w:pPr>
    <w:rPr>
      <w:rFonts w:ascii="Palatino Linotype" w:eastAsia="Times New Roman" w:hAnsi="Palatino Linotype"/>
      <w:snapToGrid w:val="0"/>
      <w:color w:val="000000"/>
      <w:szCs w:val="22"/>
      <w:lang w:bidi="en-US" w:eastAsia="de-DE"/>
    </w:rPr>
  </w:style>
  <w:style w:type="paragraph" w:styleId="MDPI23heading3" w:customStyle="1">
    <w:name w:val="MDPI_2.3_heading3"/>
    <w:qFormat w:val="1"/>
    <w:rsid w:val="00C53145"/>
    <w:pPr>
      <w:adjustRightInd w:val="0"/>
      <w:snapToGrid w:val="0"/>
      <w:spacing w:after="60" w:before="60" w:line="228" w:lineRule="auto"/>
      <w:ind w:left="2608"/>
      <w:outlineLvl w:val="2"/>
    </w:pPr>
    <w:rPr>
      <w:rFonts w:ascii="Palatino Linotype" w:eastAsia="Times New Roman" w:hAnsi="Palatino Linotype"/>
      <w:snapToGrid w:val="0"/>
      <w:color w:val="000000"/>
      <w:szCs w:val="22"/>
      <w:lang w:bidi="en-US" w:eastAsia="de-DE"/>
    </w:rPr>
  </w:style>
  <w:style w:type="paragraph" w:styleId="MDPI21heading1" w:customStyle="1">
    <w:name w:val="MDPI_2.1_heading1"/>
    <w:qFormat w:val="1"/>
    <w:rsid w:val="00C53145"/>
    <w:pPr>
      <w:adjustRightInd w:val="0"/>
      <w:snapToGrid w:val="0"/>
      <w:spacing w:after="60" w:before="240" w:line="228" w:lineRule="auto"/>
      <w:ind w:left="2608"/>
      <w:outlineLvl w:val="0"/>
    </w:pPr>
    <w:rPr>
      <w:rFonts w:ascii="Palatino Linotype" w:eastAsia="Times New Roman" w:hAnsi="Palatino Linotype"/>
      <w:b w:val="1"/>
      <w:snapToGrid w:val="0"/>
      <w:color w:val="000000"/>
      <w:szCs w:val="22"/>
      <w:lang w:bidi="en-US" w:eastAsia="de-DE"/>
    </w:rPr>
  </w:style>
  <w:style w:type="paragraph" w:styleId="MDPI22heading2" w:customStyle="1">
    <w:name w:val="MDPI_2.2_heading2"/>
    <w:qFormat w:val="1"/>
    <w:rsid w:val="00C53145"/>
    <w:pPr>
      <w:adjustRightInd w:val="0"/>
      <w:snapToGrid w:val="0"/>
      <w:spacing w:after="60" w:before="60" w:line="228" w:lineRule="auto"/>
      <w:ind w:left="2608"/>
      <w:outlineLvl w:val="1"/>
    </w:pPr>
    <w:rPr>
      <w:rFonts w:ascii="Palatino Linotype" w:eastAsia="Times New Roman" w:hAnsi="Palatino Linotype"/>
      <w:i w:val="1"/>
      <w:noProof w:val="1"/>
      <w:snapToGrid w:val="0"/>
      <w:color w:val="000000"/>
      <w:szCs w:val="22"/>
      <w:lang w:bidi="en-US" w:eastAsia="de-DE"/>
    </w:rPr>
  </w:style>
  <w:style w:type="paragraph" w:styleId="MDPI71References" w:customStyle="1">
    <w:name w:val="MDPI_7.1_References"/>
    <w:qFormat w:val="1"/>
    <w:rsid w:val="006E40F1"/>
    <w:pPr>
      <w:numPr>
        <w:numId w:val="23"/>
      </w:numPr>
      <w:adjustRightInd w:val="0"/>
      <w:snapToGrid w:val="0"/>
      <w:spacing w:line="228" w:lineRule="auto"/>
      <w:jc w:val="both"/>
    </w:pPr>
    <w:rPr>
      <w:rFonts w:ascii="Palatino Linotype" w:eastAsia="Times New Roman" w:hAnsi="Palatino Linotype"/>
      <w:color w:val="000000"/>
      <w:sz w:val="18"/>
      <w:lang w:bidi="en-US" w:eastAsia="de-DE"/>
    </w:rPr>
  </w:style>
  <w:style w:type="paragraph" w:styleId="Textodeglobo">
    <w:name w:val="Balloon Text"/>
    <w:basedOn w:val="Normal"/>
    <w:link w:val="TextodegloboCar"/>
    <w:uiPriority w:val="99"/>
    <w:rsid w:val="00C53145"/>
    <w:rPr>
      <w:rFonts w:cs="Tahoma"/>
      <w:szCs w:val="18"/>
    </w:rPr>
  </w:style>
  <w:style w:type="character" w:styleId="TextodegloboCar" w:customStyle="1">
    <w:name w:val="Texto de globo Car"/>
    <w:link w:val="Textodeglobo"/>
    <w:uiPriority w:val="99"/>
    <w:rsid w:val="00C53145"/>
    <w:rPr>
      <w:rFonts w:ascii="Palatino Linotype" w:cs="Tahoma" w:hAnsi="Palatino Linotype"/>
      <w:noProof w:val="1"/>
      <w:color w:val="000000"/>
      <w:szCs w:val="18"/>
    </w:rPr>
  </w:style>
  <w:style w:type="character" w:styleId="Nmerodelnea">
    <w:name w:val="line number"/>
    <w:uiPriority w:val="99"/>
    <w:rsid w:val="0006746A"/>
    <w:rPr>
      <w:rFonts w:ascii="Palatino Linotype" w:hAnsi="Palatino Linotype"/>
      <w:sz w:val="16"/>
    </w:rPr>
  </w:style>
  <w:style w:type="table" w:styleId="MDPI41threelinetable" w:customStyle="1">
    <w:name w:val="MDPI_4.1_three_line_table"/>
    <w:basedOn w:val="Tablanormal"/>
    <w:uiPriority w:val="99"/>
    <w:rsid w:val="00C53145"/>
    <w:pPr>
      <w:adjustRightInd w:val="0"/>
      <w:snapToGrid w:val="0"/>
      <w:jc w:val="center"/>
    </w:pPr>
    <w:rPr>
      <w:rFonts w:ascii="Palatino Linotype" w:hAnsi="Palatino Linotype"/>
      <w:color w:val="000000"/>
    </w:rPr>
    <w:tblPr>
      <w:jc w:val="center"/>
      <w:tblBorders>
        <w:top w:color="auto" w:space="0" w:sz="8" w:val="single"/>
        <w:bottom w:color="auto" w:space="0" w:sz="8" w:val="single"/>
      </w:tblBorders>
    </w:tblPr>
    <w:trPr>
      <w:jc w:val="center"/>
    </w:trPr>
    <w:tcPr>
      <w:vAlign w:val="center"/>
    </w:tcPr>
    <w:tblStylePr w:type="firstRow">
      <w:rPr>
        <w:rFonts w:ascii="Palatino Linotype" w:hAnsi="Palatino Linotype"/>
        <w:b w:val="1"/>
        <w:i w:val="0"/>
        <w:sz w:val="20"/>
      </w:rPr>
      <w:tblPr/>
      <w:tcPr>
        <w:tcBorders>
          <w:bottom w:color="auto" w:space="0" w:sz="4" w:val="single"/>
        </w:tcBorders>
      </w:tcPr>
    </w:tblStylePr>
  </w:style>
  <w:style w:type="character" w:styleId="Hipervnculo">
    <w:name w:val="Hyperlink"/>
    <w:uiPriority w:val="99"/>
    <w:rsid w:val="00C53145"/>
    <w:rPr>
      <w:color w:val="0000ff"/>
      <w:u w:val="single"/>
    </w:rPr>
  </w:style>
  <w:style w:type="character" w:styleId="UnresolvedMention" w:customStyle="1">
    <w:name w:val="Unresolved Mention"/>
    <w:uiPriority w:val="99"/>
    <w:semiHidden w:val="1"/>
    <w:unhideWhenUsed w:val="1"/>
    <w:rsid w:val="007A360C"/>
    <w:rPr>
      <w:color w:val="605e5c"/>
      <w:shd w:color="auto" w:fill="e1dfdd" w:val="clear"/>
    </w:rPr>
  </w:style>
  <w:style w:type="table" w:styleId="Tablaconcuadrcula">
    <w:name w:val="Table Grid"/>
    <w:basedOn w:val="Tablanormal"/>
    <w:uiPriority w:val="59"/>
    <w:rsid w:val="00C53145"/>
    <w:pPr>
      <w:spacing w:line="260" w:lineRule="atLeast"/>
      <w:jc w:val="both"/>
    </w:pPr>
    <w:rPr>
      <w:rFonts w:ascii="Palatino Linotype" w:hAnsi="Palatino Linotype"/>
      <w:color w:val="00000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normal4">
    <w:name w:val="Plain Table 4"/>
    <w:basedOn w:val="Tablanormal"/>
    <w:uiPriority w:val="44"/>
    <w:rsid w:val="004A70F7"/>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val="clear"/>
      </w:tcPr>
    </w:tblStylePr>
    <w:tblStylePr w:type="band1Horz">
      <w:tblPr/>
      <w:tcPr>
        <w:shd w:color="auto" w:fill="f2f2f2" w:val="clear"/>
      </w:tcPr>
    </w:tblStylePr>
  </w:style>
  <w:style w:type="paragraph" w:styleId="MDPI61Citation" w:customStyle="1">
    <w:name w:val="MDPI_6.1_Citation"/>
    <w:qFormat w:val="1"/>
    <w:rsid w:val="00C53145"/>
    <w:pPr>
      <w:adjustRightInd w:val="0"/>
      <w:snapToGrid w:val="0"/>
      <w:spacing w:line="240" w:lineRule="atLeast"/>
      <w:ind w:right="113"/>
    </w:pPr>
    <w:rPr>
      <w:rFonts w:ascii="Palatino Linotype" w:cs="Cordia New" w:hAnsi="Palatino Linotype"/>
      <w:sz w:val="14"/>
      <w:szCs w:val="22"/>
    </w:rPr>
  </w:style>
  <w:style w:type="paragraph" w:styleId="MDPI62BackMatter" w:customStyle="1">
    <w:name w:val="MDPI_6.2_BackMatter"/>
    <w:qFormat w:val="1"/>
    <w:rsid w:val="00C53145"/>
    <w:pPr>
      <w:adjustRightInd w:val="0"/>
      <w:snapToGrid w:val="0"/>
      <w:spacing w:after="120" w:line="228" w:lineRule="auto"/>
      <w:ind w:left="2608"/>
      <w:jc w:val="both"/>
    </w:pPr>
    <w:rPr>
      <w:rFonts w:ascii="Palatino Linotype" w:eastAsia="Times New Roman" w:hAnsi="Palatino Linotype"/>
      <w:snapToGrid w:val="0"/>
      <w:color w:val="000000"/>
      <w:sz w:val="18"/>
      <w:lang w:bidi="en-US" w:eastAsia="en-US"/>
    </w:rPr>
  </w:style>
  <w:style w:type="paragraph" w:styleId="MDPI63Notes" w:customStyle="1">
    <w:name w:val="MDPI_6.3_Notes"/>
    <w:qFormat w:val="1"/>
    <w:rsid w:val="00C53145"/>
    <w:pPr>
      <w:adjustRightInd w:val="0"/>
      <w:snapToGrid w:val="0"/>
      <w:spacing w:before="240" w:line="228" w:lineRule="auto"/>
      <w:jc w:val="both"/>
    </w:pPr>
    <w:rPr>
      <w:rFonts w:ascii="Palatino Linotype" w:hAnsi="Palatino Linotype"/>
      <w:snapToGrid w:val="0"/>
      <w:color w:val="000000"/>
      <w:sz w:val="18"/>
      <w:lang w:bidi="en-US" w:eastAsia="en-US"/>
    </w:rPr>
  </w:style>
  <w:style w:type="paragraph" w:styleId="MDPI15academiceditor" w:customStyle="1">
    <w:name w:val="MDPI_1.5_academic_editor"/>
    <w:qFormat w:val="1"/>
    <w:rsid w:val="00B231DA"/>
    <w:pPr>
      <w:adjustRightInd w:val="0"/>
      <w:snapToGrid w:val="0"/>
      <w:spacing w:before="120" w:line="240" w:lineRule="atLeast"/>
      <w:ind w:right="113"/>
    </w:pPr>
    <w:rPr>
      <w:rFonts w:ascii="Palatino Linotype" w:eastAsia="Times New Roman" w:hAnsi="Palatino Linotype"/>
      <w:color w:val="000000"/>
      <w:sz w:val="14"/>
      <w:szCs w:val="22"/>
      <w:lang w:bidi="en-US" w:eastAsia="de-DE"/>
    </w:rPr>
  </w:style>
  <w:style w:type="paragraph" w:styleId="MDPI19classification" w:customStyle="1">
    <w:name w:val="MDPI_1.9_classification"/>
    <w:qFormat w:val="1"/>
    <w:rsid w:val="00C53145"/>
    <w:pPr>
      <w:spacing w:before="240" w:line="260" w:lineRule="atLeast"/>
      <w:ind w:left="113"/>
      <w:jc w:val="both"/>
    </w:pPr>
    <w:rPr>
      <w:rFonts w:ascii="Palatino Linotype" w:eastAsia="Times New Roman" w:hAnsi="Palatino Linotype"/>
      <w:b w:val="1"/>
      <w:color w:val="000000"/>
      <w:szCs w:val="22"/>
      <w:lang w:bidi="en-US" w:eastAsia="de-DE"/>
    </w:rPr>
  </w:style>
  <w:style w:type="paragraph" w:styleId="MDPI411onetablecaption" w:customStyle="1">
    <w:name w:val="MDPI_4.1.1_one_table_caption"/>
    <w:qFormat w:val="1"/>
    <w:rsid w:val="00C53145"/>
    <w:pPr>
      <w:adjustRightInd w:val="0"/>
      <w:snapToGrid w:val="0"/>
      <w:spacing w:after="120" w:before="240" w:line="260" w:lineRule="atLeast"/>
      <w:jc w:val="center"/>
    </w:pPr>
    <w:rPr>
      <w:rFonts w:ascii="Palatino Linotype" w:cs="Cordia New" w:hAnsi="Palatino Linotype"/>
      <w:noProof w:val="1"/>
      <w:color w:val="000000"/>
      <w:sz w:val="18"/>
      <w:szCs w:val="22"/>
      <w:lang w:bidi="en-US"/>
    </w:rPr>
  </w:style>
  <w:style w:type="paragraph" w:styleId="MDPI511onefigurecaption" w:customStyle="1">
    <w:name w:val="MDPI_5.1.1_one_figure_caption"/>
    <w:qFormat w:val="1"/>
    <w:rsid w:val="00C53145"/>
    <w:pPr>
      <w:adjustRightInd w:val="0"/>
      <w:snapToGrid w:val="0"/>
      <w:spacing w:after="120" w:before="240" w:line="260" w:lineRule="atLeast"/>
      <w:jc w:val="center"/>
    </w:pPr>
    <w:rPr>
      <w:rFonts w:ascii="Palatino Linotype" w:hAnsi="Palatino Linotype"/>
      <w:noProof w:val="1"/>
      <w:color w:val="000000"/>
      <w:sz w:val="18"/>
      <w:lang w:bidi="en-US"/>
    </w:rPr>
  </w:style>
  <w:style w:type="paragraph" w:styleId="MDPI72Copyright" w:customStyle="1">
    <w:name w:val="MDPI_7.2_Copyright"/>
    <w:qFormat w:val="1"/>
    <w:rsid w:val="00ED47F7"/>
    <w:pPr>
      <w:adjustRightInd w:val="0"/>
      <w:snapToGrid w:val="0"/>
      <w:spacing w:before="60" w:line="240" w:lineRule="atLeast"/>
      <w:ind w:right="113"/>
      <w:jc w:val="both"/>
    </w:pPr>
    <w:rPr>
      <w:rFonts w:ascii="Palatino Linotype" w:eastAsia="Times New Roman" w:hAnsi="Palatino Linotype"/>
      <w:noProof w:val="1"/>
      <w:snapToGrid w:val="0"/>
      <w:color w:val="000000"/>
      <w:sz w:val="14"/>
      <w:lang w:eastAsia="en-GB" w:val="en-GB"/>
    </w:rPr>
  </w:style>
  <w:style w:type="paragraph" w:styleId="MDPI73CopyrightImage" w:customStyle="1">
    <w:name w:val="MDPI_7.3_CopyrightImage"/>
    <w:rsid w:val="00C53145"/>
    <w:pPr>
      <w:adjustRightInd w:val="0"/>
      <w:snapToGrid w:val="0"/>
      <w:spacing w:after="100" w:line="260" w:lineRule="atLeast"/>
      <w:jc w:val="right"/>
    </w:pPr>
    <w:rPr>
      <w:rFonts w:ascii="Palatino Linotype" w:eastAsia="Times New Roman" w:hAnsi="Palatino Linotype"/>
      <w:color w:val="000000"/>
      <w:lang w:eastAsia="de-CH"/>
    </w:rPr>
  </w:style>
  <w:style w:type="paragraph" w:styleId="MDPIequationFram" w:customStyle="1">
    <w:name w:val="MDPI_equationFram"/>
    <w:qFormat w:val="1"/>
    <w:rsid w:val="00C53145"/>
    <w:pPr>
      <w:adjustRightInd w:val="0"/>
      <w:snapToGrid w:val="0"/>
      <w:spacing w:after="120" w:before="120"/>
      <w:jc w:val="center"/>
    </w:pPr>
    <w:rPr>
      <w:rFonts w:ascii="Palatino Linotype" w:eastAsia="Times New Roman" w:hAnsi="Palatino Linotype"/>
      <w:snapToGrid w:val="0"/>
      <w:color w:val="000000"/>
      <w:szCs w:val="22"/>
      <w:lang w:bidi="en-US" w:eastAsia="de-DE"/>
    </w:rPr>
  </w:style>
  <w:style w:type="paragraph" w:styleId="MDPIfooter" w:customStyle="1">
    <w:name w:val="MDPI_footer"/>
    <w:qFormat w:val="1"/>
    <w:rsid w:val="00C53145"/>
    <w:pPr>
      <w:adjustRightInd w:val="0"/>
      <w:snapToGrid w:val="0"/>
      <w:spacing w:before="120" w:line="260" w:lineRule="atLeast"/>
      <w:jc w:val="center"/>
    </w:pPr>
    <w:rPr>
      <w:rFonts w:ascii="Palatino Linotype" w:eastAsia="Times New Roman" w:hAnsi="Palatino Linotype"/>
      <w:color w:val="000000"/>
      <w:lang w:eastAsia="de-DE"/>
    </w:rPr>
  </w:style>
  <w:style w:type="paragraph" w:styleId="MDPIfooterfirstpage" w:customStyle="1">
    <w:name w:val="MDPI_footer_firstpage"/>
    <w:qFormat w:val="1"/>
    <w:rsid w:val="00C53145"/>
    <w:pPr>
      <w:tabs>
        <w:tab w:val="right" w:pos="8845"/>
      </w:tabs>
      <w:spacing w:line="160" w:lineRule="exact"/>
    </w:pPr>
    <w:rPr>
      <w:rFonts w:ascii="Palatino Linotype" w:eastAsia="Times New Roman" w:hAnsi="Palatino Linotype"/>
      <w:color w:val="000000"/>
      <w:sz w:val="16"/>
      <w:lang w:eastAsia="de-DE"/>
    </w:rPr>
  </w:style>
  <w:style w:type="paragraph" w:styleId="MDPIheader" w:customStyle="1">
    <w:name w:val="MDPI_header"/>
    <w:qFormat w:val="1"/>
    <w:rsid w:val="00C53145"/>
    <w:pPr>
      <w:adjustRightInd w:val="0"/>
      <w:snapToGrid w:val="0"/>
      <w:spacing w:after="240" w:line="260" w:lineRule="atLeast"/>
      <w:jc w:val="both"/>
    </w:pPr>
    <w:rPr>
      <w:rFonts w:ascii="Palatino Linotype" w:eastAsia="Times New Roman" w:hAnsi="Palatino Linotype"/>
      <w:iCs w:val="1"/>
      <w:color w:val="000000"/>
      <w:sz w:val="16"/>
      <w:lang w:eastAsia="de-DE"/>
    </w:rPr>
  </w:style>
  <w:style w:type="paragraph" w:styleId="MDPIheadercitation" w:customStyle="1">
    <w:name w:val="MDPI_header_citation"/>
    <w:rsid w:val="00C53145"/>
    <w:pPr>
      <w:spacing w:after="240"/>
    </w:pPr>
    <w:rPr>
      <w:rFonts w:ascii="Palatino Linotype" w:eastAsia="Times New Roman" w:hAnsi="Palatino Linotype"/>
      <w:snapToGrid w:val="0"/>
      <w:color w:val="000000"/>
      <w:sz w:val="18"/>
      <w:lang w:bidi="en-US" w:eastAsia="de-DE"/>
    </w:rPr>
  </w:style>
  <w:style w:type="paragraph" w:styleId="MDPIheadermdpilogo" w:customStyle="1">
    <w:name w:val="MDPI_header_mdpi_logo"/>
    <w:qFormat w:val="1"/>
    <w:rsid w:val="00C53145"/>
    <w:pPr>
      <w:adjustRightInd w:val="0"/>
      <w:snapToGrid w:val="0"/>
      <w:spacing w:line="260" w:lineRule="atLeast"/>
      <w:jc w:val="right"/>
    </w:pPr>
    <w:rPr>
      <w:rFonts w:ascii="Palatino Linotype" w:eastAsia="Times New Roman" w:hAnsi="Palatino Linotype"/>
      <w:color w:val="000000"/>
      <w:sz w:val="24"/>
      <w:szCs w:val="22"/>
      <w:lang w:eastAsia="de-CH"/>
    </w:rPr>
  </w:style>
  <w:style w:type="table" w:styleId="MDPITable" w:customStyle="1">
    <w:name w:val="MDPI_Table"/>
    <w:basedOn w:val="Tablanormal"/>
    <w:uiPriority w:val="99"/>
    <w:rsid w:val="00C53145"/>
    <w:rPr>
      <w:rFonts w:ascii="Palatino Linotype" w:hAnsi="Palatino Linotype"/>
      <w:color w:val="000000"/>
      <w:lang w:eastAsia="en-US" w:val="en-CA"/>
    </w:rPr>
    <w:tblPr>
      <w:tblCellMar>
        <w:left w:w="0.0" w:type="dxa"/>
        <w:right w:w="0.0" w:type="dxa"/>
      </w:tblCellMar>
    </w:tblPr>
  </w:style>
  <w:style w:type="paragraph" w:styleId="MDPItext" w:customStyle="1">
    <w:name w:val="MDPI_text"/>
    <w:qFormat w:val="1"/>
    <w:rsid w:val="00C53145"/>
    <w:pPr>
      <w:spacing w:line="260" w:lineRule="atLeast"/>
      <w:ind w:left="425" w:right="425" w:firstLine="284"/>
      <w:jc w:val="both"/>
    </w:pPr>
    <w:rPr>
      <w:rFonts w:ascii="Times New Roman" w:eastAsia="Times New Roman" w:hAnsi="Times New Roman"/>
      <w:noProof w:val="1"/>
      <w:snapToGrid w:val="0"/>
      <w:color w:val="000000"/>
      <w:sz w:val="22"/>
      <w:szCs w:val="22"/>
      <w:lang w:bidi="en-US" w:eastAsia="de-DE"/>
    </w:rPr>
  </w:style>
  <w:style w:type="paragraph" w:styleId="MDPItitle" w:customStyle="1">
    <w:name w:val="MDPI_title"/>
    <w:qFormat w:val="1"/>
    <w:rsid w:val="00C53145"/>
    <w:pPr>
      <w:adjustRightInd w:val="0"/>
      <w:snapToGrid w:val="0"/>
      <w:spacing w:after="240" w:line="260" w:lineRule="atLeast"/>
      <w:jc w:val="both"/>
    </w:pPr>
    <w:rPr>
      <w:rFonts w:ascii="Palatino Linotype" w:eastAsia="Times New Roman" w:hAnsi="Palatino Linotype"/>
      <w:b w:val="1"/>
      <w:snapToGrid w:val="0"/>
      <w:color w:val="000000"/>
      <w:sz w:val="36"/>
      <w:lang w:bidi="en-US" w:eastAsia="de-DE"/>
    </w:rPr>
  </w:style>
  <w:style w:type="character" w:styleId="apple-converted-space" w:customStyle="1">
    <w:name w:val="apple-converted-space"/>
    <w:rsid w:val="00C53145"/>
  </w:style>
  <w:style w:type="paragraph" w:styleId="Bibliografa">
    <w:name w:val="Bibliography"/>
    <w:basedOn w:val="Normal"/>
    <w:next w:val="Normal"/>
    <w:uiPriority w:val="37"/>
    <w:semiHidden w:val="1"/>
    <w:unhideWhenUsed w:val="1"/>
    <w:rsid w:val="00C53145"/>
  </w:style>
  <w:style w:type="paragraph" w:styleId="Textoindependiente">
    <w:name w:val="Body Text"/>
    <w:link w:val="TextoindependienteCar"/>
    <w:rsid w:val="00C53145"/>
    <w:pPr>
      <w:spacing w:after="120" w:line="340" w:lineRule="atLeast"/>
      <w:jc w:val="both"/>
    </w:pPr>
    <w:rPr>
      <w:rFonts w:ascii="Palatino Linotype" w:hAnsi="Palatino Linotype"/>
      <w:color w:val="000000"/>
      <w:sz w:val="24"/>
      <w:lang w:eastAsia="de-DE"/>
    </w:rPr>
  </w:style>
  <w:style w:type="character" w:styleId="TextoindependienteCar" w:customStyle="1">
    <w:name w:val="Texto independiente Car"/>
    <w:link w:val="Textoindependiente"/>
    <w:rsid w:val="00C53145"/>
    <w:rPr>
      <w:rFonts w:ascii="Palatino Linotype" w:hAnsi="Palatino Linotype"/>
      <w:color w:val="000000"/>
      <w:sz w:val="24"/>
      <w:lang w:eastAsia="de-DE"/>
    </w:rPr>
  </w:style>
  <w:style w:type="character" w:styleId="Refdecomentario">
    <w:name w:val="annotation reference"/>
    <w:rsid w:val="00C53145"/>
    <w:rPr>
      <w:sz w:val="21"/>
      <w:szCs w:val="21"/>
    </w:rPr>
  </w:style>
  <w:style w:type="paragraph" w:styleId="Textocomentario">
    <w:name w:val="annotation text"/>
    <w:basedOn w:val="Normal"/>
    <w:link w:val="TextocomentarioCar"/>
    <w:rsid w:val="00C53145"/>
  </w:style>
  <w:style w:type="character" w:styleId="TextocomentarioCar" w:customStyle="1">
    <w:name w:val="Texto comentario Car"/>
    <w:link w:val="Textocomentario"/>
    <w:rsid w:val="00C53145"/>
    <w:rPr>
      <w:rFonts w:ascii="Palatino Linotype" w:hAnsi="Palatino Linotype"/>
      <w:noProof w:val="1"/>
      <w:color w:val="000000"/>
    </w:rPr>
  </w:style>
  <w:style w:type="paragraph" w:styleId="Asuntodelcomentario">
    <w:name w:val="annotation subject"/>
    <w:basedOn w:val="Textocomentario"/>
    <w:next w:val="Textocomentario"/>
    <w:link w:val="AsuntodelcomentarioCar"/>
    <w:rsid w:val="00C53145"/>
    <w:rPr>
      <w:b w:val="1"/>
      <w:bCs w:val="1"/>
    </w:rPr>
  </w:style>
  <w:style w:type="character" w:styleId="AsuntodelcomentarioCar" w:customStyle="1">
    <w:name w:val="Asunto del comentario Car"/>
    <w:link w:val="Asuntodelcomentario"/>
    <w:rsid w:val="00C53145"/>
    <w:rPr>
      <w:rFonts w:ascii="Palatino Linotype" w:hAnsi="Palatino Linotype"/>
      <w:b w:val="1"/>
      <w:bCs w:val="1"/>
      <w:noProof w:val="1"/>
      <w:color w:val="000000"/>
    </w:rPr>
  </w:style>
  <w:style w:type="character" w:styleId="Refdenotaalfinal">
    <w:name w:val="endnote reference"/>
    <w:rsid w:val="00C53145"/>
    <w:rPr>
      <w:vertAlign w:val="superscript"/>
    </w:rPr>
  </w:style>
  <w:style w:type="paragraph" w:styleId="Textonotaalfinal">
    <w:name w:val="endnote text"/>
    <w:basedOn w:val="Normal"/>
    <w:link w:val="TextonotaalfinalCar"/>
    <w:semiHidden w:val="1"/>
    <w:unhideWhenUsed w:val="1"/>
    <w:rsid w:val="00C53145"/>
    <w:pPr>
      <w:spacing w:line="240" w:lineRule="auto"/>
    </w:pPr>
  </w:style>
  <w:style w:type="character" w:styleId="TextonotaalfinalCar" w:customStyle="1">
    <w:name w:val="Texto nota al final Car"/>
    <w:link w:val="Textonotaalfinal"/>
    <w:semiHidden w:val="1"/>
    <w:rsid w:val="00C53145"/>
    <w:rPr>
      <w:rFonts w:ascii="Palatino Linotype" w:hAnsi="Palatino Linotype"/>
      <w:noProof w:val="1"/>
      <w:color w:val="000000"/>
    </w:rPr>
  </w:style>
  <w:style w:type="character" w:styleId="Hipervnculovisitado">
    <w:name w:val="FollowedHyperlink"/>
    <w:rsid w:val="00C53145"/>
    <w:rPr>
      <w:color w:val="954f72"/>
      <w:u w:val="single"/>
    </w:rPr>
  </w:style>
  <w:style w:type="paragraph" w:styleId="Textonotapie">
    <w:name w:val="footnote text"/>
    <w:basedOn w:val="Normal"/>
    <w:link w:val="TextonotapieCar"/>
    <w:semiHidden w:val="1"/>
    <w:unhideWhenUsed w:val="1"/>
    <w:rsid w:val="00C53145"/>
    <w:pPr>
      <w:spacing w:line="240" w:lineRule="auto"/>
    </w:pPr>
  </w:style>
  <w:style w:type="character" w:styleId="TextonotapieCar" w:customStyle="1">
    <w:name w:val="Texto nota pie Car"/>
    <w:link w:val="Textonotapie"/>
    <w:semiHidden w:val="1"/>
    <w:rsid w:val="00C53145"/>
    <w:rPr>
      <w:rFonts w:ascii="Palatino Linotype" w:hAnsi="Palatino Linotype"/>
      <w:noProof w:val="1"/>
      <w:color w:val="000000"/>
    </w:rPr>
  </w:style>
  <w:style w:type="paragraph" w:styleId="NormalWeb">
    <w:name w:val="Normal (Web)"/>
    <w:basedOn w:val="Normal"/>
    <w:uiPriority w:val="99"/>
    <w:rsid w:val="00C53145"/>
    <w:rPr>
      <w:szCs w:val="24"/>
    </w:rPr>
  </w:style>
  <w:style w:type="paragraph" w:styleId="MsoFootnoteText0" w:customStyle="1">
    <w:name w:val="MsoFootnoteText"/>
    <w:basedOn w:val="NormalWeb"/>
    <w:qFormat w:val="1"/>
    <w:rsid w:val="00C53145"/>
    <w:rPr>
      <w:rFonts w:ascii="Times New Roman" w:hAnsi="Times New Roman"/>
    </w:rPr>
  </w:style>
  <w:style w:type="character" w:styleId="Nmerodepgina">
    <w:name w:val="page number"/>
    <w:rsid w:val="00C53145"/>
  </w:style>
  <w:style w:type="character" w:styleId="Textodelmarcadordeposicin">
    <w:name w:val="Placeholder Text"/>
    <w:uiPriority w:val="99"/>
    <w:semiHidden w:val="1"/>
    <w:rsid w:val="00C53145"/>
    <w:rPr>
      <w:color w:val="808080"/>
    </w:rPr>
  </w:style>
  <w:style w:type="paragraph" w:styleId="MDPI71FootNotes" w:customStyle="1">
    <w:name w:val="MDPI_7.1_FootNotes"/>
    <w:qFormat w:val="1"/>
    <w:rsid w:val="00AB1203"/>
    <w:pPr>
      <w:numPr>
        <w:numId w:val="20"/>
      </w:numPr>
      <w:adjustRightInd w:val="0"/>
      <w:snapToGrid w:val="0"/>
      <w:spacing w:line="228" w:lineRule="auto"/>
    </w:pPr>
    <w:rPr>
      <w:rFonts w:ascii="Palatino Linotype" w:hAnsi="Palatino Linotype" w:eastAsiaTheme="minorEastAsia"/>
      <w:noProof w:val="1"/>
      <w:color w:val="000000"/>
      <w:sz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6.jpg"/><Relationship Id="rId22" Type="http://schemas.openxmlformats.org/officeDocument/2006/relationships/footer" Target="footer2.xml"/><Relationship Id="rId10" Type="http://schemas.openxmlformats.org/officeDocument/2006/relationships/image" Target="media/image2.jpg"/><Relationship Id="rId21" Type="http://schemas.openxmlformats.org/officeDocument/2006/relationships/footer" Target="footer1.xml"/><Relationship Id="rId13" Type="http://schemas.openxmlformats.org/officeDocument/2006/relationships/image" Target="media/image9.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mailto:leyva.sandra@uabc.edu.mx" TargetMode="External"/><Relationship Id="rId15" Type="http://schemas.openxmlformats.org/officeDocument/2006/relationships/image" Target="media/image4.jpg"/><Relationship Id="rId14" Type="http://schemas.openxmlformats.org/officeDocument/2006/relationships/image" Target="media/image7.jpg"/><Relationship Id="rId17" Type="http://schemas.openxmlformats.org/officeDocument/2006/relationships/image" Target="media/image10.jpg"/><Relationship Id="rId16" Type="http://schemas.openxmlformats.org/officeDocument/2006/relationships/image" Target="media/image1.jpg"/><Relationship Id="rId5" Type="http://schemas.openxmlformats.org/officeDocument/2006/relationships/numbering" Target="numbering.xml"/><Relationship Id="rId19" Type="http://schemas.openxmlformats.org/officeDocument/2006/relationships/header" Target="header3.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customXml" Target="../customXML/item1.xm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github.com/vladoxNCL/WBL_paper/blob/main/WBL_Analysis.ipynb"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biG32xAIHVf5w8sK3JU0TJ85rQ==">CgMxLjAyCWguMzBqMHpsbDIJaC4xZm9iOXRlOAByITEtSUJOWjhRTDBwVlFjeE53LUFJTVlHemJlU3dGa0FaZQ==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2023-08-01T23:18:00Z</dcterms:created>
  <dc:creator>Antonia Terán Bustamante</dc:creator>
</cp:coreProperties>
</file>