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шифр Цезаря с произвольным ключом</w:t>
      </w:r>
      <w:r>
        <w:t xml:space="preserve"> </w:t>
      </w:r>
      <w:r>
        <w:rPr>
          <w:iCs/>
          <w:i/>
        </w:rPr>
        <w:t xml:space="preserve">k</w:t>
      </w:r>
      <w:r>
        <w:t xml:space="preserve">.</w:t>
      </w:r>
    </w:p>
    <w:p>
      <w:pPr>
        <w:pStyle w:val="BodyText"/>
      </w:pPr>
      <w:r>
        <w:t xml:space="preserve">Реализовать шифр Атбаш.</w:t>
      </w:r>
    </w:p>
    <w:bookmarkEnd w:id="20"/>
    <w:bookmarkStart w:id="23" w:name="описание-реализации"/>
    <w:p>
      <w:pPr>
        <w:pStyle w:val="Heading1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p>
      <w:pPr>
        <w:pStyle w:val="BodyText"/>
      </w:pPr>
      <w:r>
        <w:t xml:space="preserve">Были сгенерированы анлийский и русский алфавиты. (рис. 1)</w:t>
      </w:r>
    </w:p>
    <w:p>
      <w:pPr>
        <w:pStyle w:val="BodyText"/>
      </w:pPr>
      <w:r>
        <w:t xml:space="preserve">Были реализованы как шифраторы, так и дешифраторы рассматриваемых алгоритмов.</w:t>
      </w:r>
    </w:p>
    <w:p>
      <w:pPr>
        <w:pStyle w:val="CaptionedFigure"/>
      </w:pPr>
      <w:bookmarkStart w:id="22" w:name="fig:001"/>
      <w:r>
        <w:drawing>
          <wp:inline>
            <wp:extent cx="4487475" cy="2358998"/>
            <wp:effectExtent b="0" l="0" r="0" t="0"/>
            <wp:docPr descr="Figure 1: Генерация алфавитов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Генерация алфавитов</w:t>
      </w:r>
    </w:p>
    <w:bookmarkEnd w:id="23"/>
    <w:bookmarkStart w:id="30" w:name="реализация"/>
    <w:p>
      <w:pPr>
        <w:pStyle w:val="Heading1"/>
      </w:pPr>
      <w:r>
        <w:t xml:space="preserve">Реализация</w:t>
      </w:r>
    </w:p>
    <w:bookmarkStart w:id="26" w:name="шифр-цезаря-с-произвольным-ключом-k"/>
    <w:p>
      <w:pPr>
        <w:pStyle w:val="Heading2"/>
      </w:pPr>
      <w:r>
        <w:t xml:space="preserve">Шифр Цезаря с произвольным ключом k</w:t>
      </w:r>
    </w:p>
    <w:p>
      <w:pPr>
        <w:pStyle w:val="FirstParagraph"/>
      </w:pP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(рис. 2)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символ открытого текста,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символ шифрованного текста,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мощность алфавита,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ключ.</w:t>
      </w:r>
    </w:p>
    <w:p>
      <w:pPr>
        <w:pStyle w:val="CaptionedFigure"/>
      </w:pPr>
      <w:bookmarkStart w:id="25" w:name="fig:002"/>
      <w:r>
        <w:drawing>
          <wp:inline>
            <wp:extent cx="5334000" cy="1547476"/>
            <wp:effectExtent b="0" l="0" r="0" t="0"/>
            <wp:docPr descr="Figure 2: Код Шифра Цезаря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Шифра Цезаря</w:t>
      </w:r>
    </w:p>
    <w:bookmarkEnd w:id="26"/>
    <w:bookmarkStart w:id="29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Шифр Атбаш — простой шифр подстановки для алфавитного письма. 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буквой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алфавите. (рис. 3)</w:t>
      </w:r>
    </w:p>
    <w:p>
      <w:pPr>
        <w:pStyle w:val="CaptionedFigure"/>
      </w:pPr>
      <w:bookmarkStart w:id="28" w:name="fig:003"/>
      <w:r>
        <w:drawing>
          <wp:inline>
            <wp:extent cx="5334000" cy="1707989"/>
            <wp:effectExtent b="0" l="0" r="0" t="0"/>
            <wp:docPr descr="Figure 3: Код Шифра Атбаш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Код Шифра Атбаш</w:t>
      </w:r>
    </w:p>
    <w:bookmarkEnd w:id="29"/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Реализовали шифр Цезаря с произвольным ключом</w:t>
      </w:r>
      <w:r>
        <w:t xml:space="preserve"> </w:t>
      </w:r>
      <w:r>
        <w:rPr>
          <w:iCs/>
          <w:i/>
        </w:rPr>
        <w:t xml:space="preserve">k</w:t>
      </w:r>
      <w:r>
        <w:t xml:space="preserve">.</w:t>
      </w:r>
    </w:p>
    <w:p>
      <w:pPr>
        <w:pStyle w:val="BodyText"/>
      </w:pPr>
      <w:r>
        <w:t xml:space="preserve">Реализовали шифр Атбаш.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Пологов Владислав Александрович</dc:creator>
  <dc:language>ru-RU</dc:language>
  <cp:keywords/>
  <dcterms:created xsi:type="dcterms:W3CDTF">2022-09-17T19:03:35Z</dcterms:created>
  <dcterms:modified xsi:type="dcterms:W3CDTF">2022-09-17T19:03:35Z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простой замены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