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Пологов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0"/>
    <w:bookmarkStart w:id="25" w:name="описание-реализации"/>
    <w:p>
      <w:pPr>
        <w:pStyle w:val="Heading1"/>
      </w:pPr>
      <w:r>
        <w:t xml:space="preserve">Описание реализации</w:t>
      </w:r>
    </w:p>
    <w:p>
      <w:pPr>
        <w:pStyle w:val="FirstParagraph"/>
      </w:pPr>
      <w:r>
        <w:t xml:space="preserve">Для реализации алгоритмов использовались средства языка Python.</w:t>
      </w:r>
    </w:p>
    <w:p>
      <w:pPr>
        <w:pStyle w:val="BodyText"/>
      </w:pPr>
      <w:r>
        <w:t xml:space="preserve">Были реализованы как шифратор, так и дешифратор реализуемого алгоритма. (рис. -fig. 1)</w:t>
      </w:r>
    </w:p>
    <w:p>
      <w:pPr>
        <w:pStyle w:val="CaptionedFigure"/>
      </w:pPr>
      <w:bookmarkStart w:id="24" w:name="fig:001"/>
      <w:r>
        <w:drawing>
          <wp:inline>
            <wp:extent cx="4172430" cy="637774"/>
            <wp:effectExtent b="0" l="0" r="0" t="0"/>
            <wp:docPr descr="Figure 1: Функции шифратора и дешифратора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30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Функции шифратора и дешифратора</w:t>
      </w:r>
    </w:p>
    <w:bookmarkEnd w:id="25"/>
    <w:bookmarkStart w:id="44" w:name="реализация"/>
    <w:p>
      <w:pPr>
        <w:pStyle w:val="Heading1"/>
      </w:pPr>
      <w:r>
        <w:t xml:space="preserve">Реализация</w:t>
      </w:r>
    </w:p>
    <w:bookmarkStart w:id="30" w:name="шифрование-гаммированием"/>
    <w:p>
      <w:pPr>
        <w:pStyle w:val="Heading2"/>
      </w:pPr>
      <w:r>
        <w:t xml:space="preserve">Шифрование гаммированием</w:t>
      </w:r>
    </w:p>
    <w:p>
      <w:pPr>
        <w:pStyle w:val="FirstParagraph"/>
      </w:pPr>
      <w:r>
        <w:t xml:space="preserve">Гаммирование - процедура наложения при помощи некоторой функции F на исходный текст гаммы шифра, то.е. псевдослучайной последовательности (ПСП) с выходов генератора G. Псевдослучайная последовательность является детерминированной, т.е. известен алгоритм её формирования. (рис. -fig. 2)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*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*</m:t>
          </m:r>
          <m:r>
            <m:t>m</m:t>
          </m:r>
          <m:r>
            <m:t>o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m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член последовательности псведослучайных чисел,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sSub>
          <m:e>
            <m:r>
              <m:t>γ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— ключевые параметры.</w:t>
      </w:r>
    </w:p>
    <w:p>
      <w:pPr>
        <w:pStyle w:val="CaptionedFigure"/>
      </w:pPr>
      <w:bookmarkStart w:id="29" w:name="fig:002"/>
      <w:r>
        <w:drawing>
          <wp:inline>
            <wp:extent cx="5334000" cy="1550275"/>
            <wp:effectExtent b="0" l="0" r="0" t="0"/>
            <wp:docPr descr="Figure 2: Гаммирование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Гаммирование</w:t>
      </w:r>
    </w:p>
    <w:bookmarkEnd w:id="30"/>
    <w:bookmarkStart w:id="31" w:name="Xc4c1912b7e03945ee8c3ca784e0c12f326d804e"/>
    <w:p>
      <w:pPr>
        <w:pStyle w:val="Heading2"/>
      </w:pPr>
      <w:r>
        <w:t xml:space="preserve">Условия достижения максимальной длины периода m</w:t>
      </w:r>
    </w:p>
    <w:p>
      <w:pPr>
        <w:pStyle w:val="FirstParagraph"/>
      </w:pPr>
      <w:r>
        <w:t xml:space="preserve">ПСП является периодической. Знание периода гаммы суещственно облегчает криптоанализ. Максимальная длина периода равна m. Для её достижения необходимо удовлетворить следующим условиям:</w:t>
      </w:r>
    </w:p>
    <w:p>
      <w:pPr>
        <w:numPr>
          <w:ilvl w:val="0"/>
          <w:numId w:val="1001"/>
        </w:numPr>
      </w:pPr>
      <w:r>
        <w:t xml:space="preserve">b и m - взаимно простые числа;</w:t>
      </w:r>
    </w:p>
    <w:p>
      <w:pPr>
        <w:numPr>
          <w:ilvl w:val="0"/>
          <w:numId w:val="1001"/>
        </w:numPr>
      </w:pPr>
      <w:r>
        <w:t xml:space="preserve">a - 1 делится на любой простой делитель числа m;</w:t>
      </w:r>
    </w:p>
    <w:p>
      <w:pPr>
        <w:numPr>
          <w:ilvl w:val="0"/>
          <w:numId w:val="1001"/>
        </w:numPr>
      </w:pPr>
      <w:r>
        <w:t xml:space="preserve">a - 1 кратно 4, если m кратно 4.</w:t>
      </w:r>
    </w:p>
    <w:bookmarkEnd w:id="31"/>
    <w:bookmarkStart w:id="32" w:name="код-реализации-шифрования-гаммированием"/>
    <w:p>
      <w:pPr>
        <w:pStyle w:val="Heading2"/>
      </w:pPr>
      <w:r>
        <w:t xml:space="preserve">Код реализации шифрования гаммированием</w:t>
      </w:r>
    </w:p>
    <w:p>
      <w:pPr>
        <w:pStyle w:val="FirstParagraph"/>
      </w:pPr>
      <w:r>
        <w:t xml:space="preserve">Для реализации были использованы функции получения алфавита и продления ключа до длины исходной строки из предыдущих лабораторных. (рис. -fig. 3)</w:t>
      </w:r>
    </w:p>
    <w:bookmarkEnd w:id="32"/>
    <w:bookmarkStart w:id="37" w:name="X8bb962f1522fcb3412c6c0bffc8dfd66e1219c4"/>
    <w:p>
      <w:pPr>
        <w:pStyle w:val="Heading2"/>
      </w:pPr>
      <w:r>
        <w:t xml:space="preserve">Код реализации шифрования гаммированием</w:t>
      </w:r>
    </w:p>
    <w:p>
      <w:pPr>
        <w:pStyle w:val="CaptionedFigure"/>
      </w:pPr>
      <w:bookmarkStart w:id="36" w:name="fig:003"/>
      <w:r>
        <w:drawing>
          <wp:inline>
            <wp:extent cx="5317351" cy="3696020"/>
            <wp:effectExtent b="0" l="0" r="0" t="0"/>
            <wp:docPr descr="Figure 3: Код шифрования гаммированием" title="" id="34" name="Picture"/>
            <a:graphic>
              <a:graphicData uri="http://schemas.openxmlformats.org/drawingml/2006/picture">
                <pic:pic>
                  <pic:nvPicPr>
                    <pic:cNvPr descr="image/image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Код шифрования гаммированием</w:t>
      </w:r>
    </w:p>
    <w:bookmarkEnd w:id="37"/>
    <w:bookmarkStart w:id="38" w:name="код-дешифратора"/>
    <w:p>
      <w:pPr>
        <w:pStyle w:val="Heading2"/>
      </w:pPr>
      <w:r>
        <w:t xml:space="preserve">Код дешифратора</w:t>
      </w:r>
    </w:p>
    <w:p>
      <w:pPr>
        <w:pStyle w:val="FirstParagraph"/>
      </w:pPr>
      <w:r>
        <w:t xml:space="preserve">Дешифрация отличается лишь формулой получения индекса элемента. (рис. -fig. 4)</w:t>
      </w:r>
    </w:p>
    <w:bookmarkEnd w:id="38"/>
    <w:bookmarkStart w:id="43" w:name="код-дешифратора-1"/>
    <w:p>
      <w:pPr>
        <w:pStyle w:val="Heading2"/>
      </w:pPr>
      <w:r>
        <w:t xml:space="preserve">Код дешифратора</w:t>
      </w:r>
    </w:p>
    <w:p>
      <w:pPr>
        <w:pStyle w:val="CaptionedFigure"/>
      </w:pPr>
      <w:bookmarkStart w:id="42" w:name="fig:004"/>
      <w:r>
        <w:drawing>
          <wp:inline>
            <wp:extent cx="5334000" cy="3598752"/>
            <wp:effectExtent b="0" l="0" r="0" t="0"/>
            <wp:docPr descr="Figure 4: Код дешифратора" title="" id="40" name="Picture"/>
            <a:graphic>
              <a:graphicData uri="http://schemas.openxmlformats.org/drawingml/2006/picture">
                <pic:pic>
                  <pic:nvPicPr>
                    <pic:cNvPr descr="image/image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4: Код дешифратора</w:t>
      </w:r>
    </w:p>
    <w:bookmarkEnd w:id="43"/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2"/>
        </w:numPr>
      </w:pPr>
      <w:r>
        <w:t xml:space="preserve">Реализовали алгоритм шифрования гаммированием конечной гаммой.</w:t>
      </w:r>
    </w:p>
    <w:p>
      <w:pPr>
        <w:numPr>
          <w:ilvl w:val="0"/>
          <w:numId w:val="1002"/>
        </w:numPr>
      </w:pPr>
      <w:r>
        <w:t xml:space="preserve">Узнали алгоритм формирования псевдослучайной последовательноати.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Пологов Владислав Александрович</dc:creator>
  <dc:language>ru-RU</dc:language>
  <cp:keywords/>
  <dcterms:created xsi:type="dcterms:W3CDTF">2022-10-12T08:13:19Z</dcterms:created>
  <dcterms:modified xsi:type="dcterms:W3CDTF">2022-10-12T08:13:19Z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Шифрование гаммированием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