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BFCBA" w14:textId="6C15BAF0" w:rsidR="001F6524" w:rsidRDefault="001F6524">
      <w:pPr>
        <w:rPr>
          <w:lang w:val="ru-RU"/>
        </w:rPr>
      </w:pPr>
      <w:r>
        <w:rPr>
          <w:lang w:val="ru-RU"/>
        </w:rPr>
        <w:t>Вкладка коагуляция</w:t>
      </w:r>
      <w:r>
        <w:rPr>
          <w:lang w:val="ru-RU"/>
        </w:rPr>
        <w:br/>
      </w:r>
      <w:r>
        <w:rPr>
          <w:lang w:val="ru-RU"/>
        </w:rPr>
        <w:br/>
        <w:t>раздел коагулянт</w:t>
      </w:r>
    </w:p>
    <w:p w14:paraId="68FCEC08" w14:textId="4B41202B" w:rsidR="001F6524" w:rsidRPr="0093333E" w:rsidRDefault="001F6524">
      <w:pPr>
        <w:rPr>
          <w:lang w:val="ru-RU"/>
        </w:rPr>
      </w:pPr>
      <w:r>
        <w:rPr>
          <w:lang w:val="ru-RU"/>
        </w:rPr>
        <w:t>- при выборе коагулянта должна появляться возможность выбрать из справочника коагулянт конкретного производителя, к которому можно заполнить все требуемые параметры по коагулянту (добавить/убрать/редактировать)</w:t>
      </w:r>
      <w:r>
        <w:rPr>
          <w:lang w:val="ru-RU"/>
        </w:rPr>
        <w:br/>
        <w:t xml:space="preserve">- а также справочник с методиками расчета оптимальной дозы на основании данных исходной воды и данных по коагулянту </w:t>
      </w:r>
      <w:r>
        <w:rPr>
          <w:lang w:val="ru-RU"/>
        </w:rPr>
        <w:t>(добавить/убрать/редактировать)</w:t>
      </w:r>
      <w:r>
        <w:rPr>
          <w:lang w:val="ru-RU"/>
        </w:rPr>
        <w:br/>
        <w:t>то есть для каждого типа коагулянта может быть неограниченное количество товарных коагулянтов (разные свойства и концентрации) и неограниченное количество методик расчета оптимальной дозы. Один тип коагулянта и одна методика имеют признак «по умолчанию» (который пользователь может менять)</w:t>
      </w:r>
      <w:r>
        <w:rPr>
          <w:lang w:val="ru-RU"/>
        </w:rPr>
        <w:br/>
        <w:t xml:space="preserve">- после выбора коагулянта и методики кроме расходов исходной воды должна быть возможность задать параметры качества исходной воды для автоматического расчета дозы коагулянта и необходимости корректировки </w:t>
      </w:r>
      <w:r>
        <w:rPr>
          <w:lang w:val="en-US"/>
        </w:rPr>
        <w:t>pH</w:t>
      </w:r>
    </w:p>
    <w:sectPr w:rsidR="001F6524" w:rsidRPr="0093333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524"/>
    <w:rsid w:val="001F6524"/>
    <w:rsid w:val="00800333"/>
    <w:rsid w:val="00933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M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B8036FC"/>
  <w15:chartTrackingRefBased/>
  <w15:docId w15:val="{CE15495C-1836-CF4C-B337-776247A86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M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65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65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65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65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65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65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65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65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65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65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65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65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65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65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65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65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65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65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65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65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65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65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65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65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65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65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65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65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65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133</Words>
  <Characters>760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 влад</dc:creator>
  <cp:keywords/>
  <dc:description/>
  <cp:lastModifiedBy>влад влад</cp:lastModifiedBy>
  <cp:revision>1</cp:revision>
  <dcterms:created xsi:type="dcterms:W3CDTF">2026-10-10T23:36:00Z</dcterms:created>
  <dcterms:modified xsi:type="dcterms:W3CDTF">2026-10-10T23:46:00Z</dcterms:modified>
</cp:coreProperties>
</file>