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ACMF 3.3.1.2</w:t>
      </w:r>
    </w:p>
    <w:p>
      <w:pPr>
        <w:jc w:val="center"/>
      </w:pPr>
      <w:r>
        <w:rPr>
          <w:b/>
          <w:color w:val="2F5496"/>
          <w:sz w:val="30"/>
        </w:rPr>
        <w:t>Adaptive Dynamics Integration Specification</w:t>
      </w:r>
    </w:p>
    <w:p>
      <w:pPr>
        <w:jc w:val="center"/>
      </w:pPr>
      <w:r>
        <w:rPr>
          <w:i/>
          <w:sz w:val="20"/>
        </w:rPr>
        <w:t>Полная русскоязычная версия с интеграцией фазовых переходов, масштабов времени, критичности и вероятности смены режима</w:t>
      </w:r>
    </w:p>
    <w:p/>
    <w:p>
      <w:pPr>
        <w:spacing w:after="100"/>
      </w:pPr>
      <w:r>
        <w:rPr>
          <w:b/>
          <w:i w:val="0"/>
        </w:rPr>
        <w:t>Статус: ANALYTICAL CORE VALIDATED WITH ADAPTIVE DYNAMICS EXTENSION PROPOSED</w:t>
      </w:r>
    </w:p>
    <w:p>
      <w:pPr>
        <w:spacing w:after="100"/>
      </w:pPr>
      <w:r>
        <w:rPr>
          <w:b w:val="0"/>
          <w:i/>
        </w:rPr>
        <w:t>Формулы записаны в линейной текстовой нотации. LaTeX и вставленные блоки кода не используются.</w:t>
      </w:r>
    </w:p>
    <w:p>
      <w:r>
        <w:br w:type="page"/>
      </w:r>
    </w:p>
    <w:p>
      <w:pPr>
        <w:pStyle w:val="Heading1"/>
      </w:pPr>
      <w:r>
        <w:t>О. Оглавление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892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Название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Назначение версии и статус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Что переносится из статьи и что не переносится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Обновленная архитектура ACMF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Пространство состояний и область допустимых решений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Сглаживающие операторы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Алгебраический слой ACMF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Система ОДУ базового ядра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Инвариантность, гладкость и демографическое отщепление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Исправленная структура Якобиана и обратных связей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Adaptive Dynamics Module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Inertial Potential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Transformational Potential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Adaptive Capacity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Time-Scale Mismatch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Index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Transition Probability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Связь Adaptive Dynamics с H0/H2/H1/H3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Новые проверяемые гипотезы C0/C1/C2/C3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Фаза II: калибровка, идентифицируемость и модельное сравнение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Фаза III: foresight, digital twin и transition-risk forecasting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Минимальный план эмпирической проверки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8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Итоговый статус ACMF 3.3.1.2</w:t>
            </w:r>
          </w:p>
        </w:tc>
      </w:tr>
    </w:tbl>
    <w:p/>
    <w:p>
      <w:r>
        <w:br w:type="page"/>
      </w:r>
    </w:p>
    <w:p>
      <w:pPr>
        <w:pStyle w:val="Heading1"/>
      </w:pPr>
      <w:r>
        <w:t>0. Назначение версии и статус</w:t>
      </w:r>
    </w:p>
    <w:p>
      <w:pPr>
        <w:spacing w:after="100"/>
      </w:pPr>
      <w:r>
        <w:rPr>
          <w:b w:val="0"/>
          <w:i w:val="0"/>
        </w:rPr>
        <w:t>ACMF 3.3.1.2 фиксирует следующий шаг после ACMF 3.3.1.1: к исправленному аналитическому ядру добавляется Adaptive Dynamics Module. Этот модуль не переносит внешние сценарии, циклы или прогнозы из футурологических текстов. Он переносит только язык процессов и превращает его в проверяемые математические величины.</w:t>
      </w:r>
    </w:p>
    <w:p>
      <w:pPr>
        <w:spacing w:after="100"/>
      </w:pPr>
      <w:r>
        <w:rPr>
          <w:b w:val="0"/>
          <w:i w:val="0"/>
        </w:rPr>
        <w:t>Ключевая цель версии: расширить ACMF от trajectory forecasting к transition-risk forecasting. То есть прогнозировать не только значения переменных, но и риск перехода системы в другой режим.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Базовое ОДУ-ядро ACMF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VALIDATED WITH CORRECTIONS APPLIED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Adaptive Dynamics Module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AS RESEARCH EXTENSION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Index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TO BE EMPIRICALLY VALIDATED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Transition Probability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Циклы 240 лет и сценарные вероятности статьи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EXCLUDED FROM CORE</w:t>
            </w:r>
          </w:p>
        </w:tc>
      </w:tr>
    </w:tbl>
    <w:p/>
    <w:p>
      <w:pPr>
        <w:pStyle w:val="Heading1"/>
      </w:pPr>
      <w:r>
        <w:t>1. Что переносится из статьи и что не переносится</w:t>
      </w:r>
    </w:p>
    <w:p>
      <w:pPr>
        <w:spacing w:after="100"/>
      </w:pPr>
      <w:r>
        <w:rPr>
          <w:b w:val="0"/>
          <w:i w:val="0"/>
        </w:rPr>
        <w:t>Из статьи не переносятся готовые выводы. Они могут быть интересны как отдельная футурологическая гипотеза, но не должны становиться частью универсального математического ядра ACMF.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Решение для ACMF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 переносить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240-летний цикл, вероятности 20/40/30/10, неизбежность демонтажа институтов, конкретные прогнозы по ИИ, энергетике и геополитике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Эти элементы завязаны на авторскую школу и не должны фиксироваться в универсальной модели.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Использовать как гипотезы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Инерция, ускорение, борьба быстрых и медленных процессов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Эти слова переводятся в Inertial Potential, Transformational Potential и Time-Scale Mismatch.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Интегрировать как механизм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Фазовые переходы, критичность, вероятность смены режима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ACMF может дать математический механизм возникновения переходов.</w:t>
            </w:r>
          </w:p>
        </w:tc>
      </w:tr>
    </w:tbl>
    <w:p/>
    <w:p>
      <w:pPr>
        <w:pStyle w:val="Heading1"/>
      </w:pPr>
      <w:r>
        <w:t>2. Обновленная архитектура ACMF</w:t>
      </w:r>
    </w:p>
    <w:p>
      <w:pPr>
        <w:spacing w:after="100"/>
      </w:pPr>
      <w:r>
        <w:rPr>
          <w:b w:val="0"/>
          <w:i w:val="0"/>
        </w:rPr>
        <w:t>Предыдущая архитектура ACMF была ориентирована на траекторию состояний: States -&gt; Dynamics -&gt; Forecast. Версия 3.3.1.2 добавляет диагностический слой между динамикой и прогнозом.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Old architecture: States -&gt; Dynamics -&gt; Forecast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New architecture: States -&gt; Dynamics -&gt; Adaptive Dynamics Layer -&gt; Criticality Index -&gt; Phase Transition Probability -&gt; Forecast</w:t>
      </w:r>
    </w:p>
    <w:p>
      <w:pPr>
        <w:spacing w:after="100"/>
      </w:pPr>
      <w:r>
        <w:rPr>
          <w:b w:val="0"/>
          <w:i w:val="0"/>
        </w:rPr>
        <w:t>Новый слой не изменяет автоматически ОДУ. Сначала он работает как диагностический слой. Только если эмпирическая проверка подтвердит его пользу, он может стать механизмом режимной смены параметров или изменения функциональной формы.</w:t>
      </w:r>
    </w:p>
    <w:p>
      <w:pPr>
        <w:pStyle w:val="Heading1"/>
      </w:pPr>
      <w:r>
        <w:t>3. Пространство состояний и область допустимых решений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dim(X) = 10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X(t) = (A, Prod, Ch, M, G, V, Inst, R, F, P)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A, Prod, Ch, M, G, V, Inst, R in [0,1]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F in [0,4]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P &gt;= 0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Omega = [0,1]^8 * [0,4] * R_+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Omega*_epsilon = [0,1]^8 * [0,4] * [epsilon, P_max]</w:t>
      </w:r>
    </w:p>
    <w:p>
      <w:pPr>
        <w:spacing w:after="100"/>
      </w:pPr>
      <w:r>
        <w:rPr>
          <w:b w:val="0"/>
          <w:i w:val="0"/>
        </w:rPr>
        <w:t>Omega*_epsilon сохраняется как рабочая область для доказательств компактности, продолжимости решений и демографического отщепления при P &gt;= epsilon.</w:t>
      </w:r>
    </w:p>
    <w:p>
      <w:pPr>
        <w:pStyle w:val="Heading1"/>
      </w:pPr>
      <w:r>
        <w:t>4. Сглаживающие операторы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epsilon = 1e-9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Smax(x, y) = 0.5 * (x + y + sqrt((x - y)^2 +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Smin(x, y) = 0.5 * (x + y - sqrt((x - y)^2 +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dSmax/dx = 0.5 * (1 + (x - y) / sqrt((x - y)^2 +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dSmax/dy = 0.5 * (1 - (x - y) / sqrt((x - y)^2 +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dSmin/dx = 0.5 * (1 - (x - y) / sqrt((x - y)^2 +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dSmin/dy = 0.5 * (1 + (x - y) / sqrt((x - y)^2 + epsilon))</w:t>
      </w:r>
    </w:p>
    <w:p>
      <w:pPr>
        <w:spacing w:after="100"/>
      </w:pPr>
      <w:r>
        <w:rPr>
          <w:b w:val="0"/>
          <w:i w:val="0"/>
        </w:rPr>
        <w:t>Статус: PROVEN. При epsilon &gt; 0 операторы C1-гладкие, а их частные производные непрерывны и ограничены.</w:t>
      </w:r>
    </w:p>
    <w:p>
      <w:pPr>
        <w:pStyle w:val="Heading1"/>
      </w:pPr>
      <w:r>
        <w:t>5. Алгебраический слой ACMF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P_safe = Smax(P, epsilon)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L_s = 0.6 * P_safe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L_d = P * Smax(0, q1 + q2 * Prod - q3 * A)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Emp = Smin(L_s, L_d)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Unemployment = Smax(0, 1 - Emp / Smax(L_s,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 = 1 / (1 + exp(-(s1 * Unemployment + s2 * Inf)))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Education = Smin(1, Smax(0, we1 * Inst + we2 * R))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RecoveryDriver = Smin(1, Smax(0, wr1 * Inst + wr2 * Education + wr3 * Com))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SocialCapital = Smax(0, Inst * R * (1 + g_sc * M))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Cult_raw = (cu1 * SocialCapital + cu2 * Education + cu3 * LTG) * exp(-(cu4 * IG + cu5 * V + cu6 * S))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Cult = Smin(1, Smax(0, Cult_raw))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 = Smin(1, Smax(0, c1 * Education + c2 * Cult))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Gap = 1 / (1 + exp(-(C - Ch)))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Env = w1 * H + w2 * Sec + w3 * HC + w4 * Inst + w5 * FP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EI = e1 * Inf + e2 * (1 - Inc) + e3 * Unemployment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Innovation = Inst * Smax(0, 1 - A) * (1 + g_innov * G) * (1 + g_ch * Ch)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RoutineAuto = A * Prod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Aging = Smax(0, 1 - F / 4)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Comp = Smax(0, 1 - Inst)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HCE = M * (1 - S)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LabourScarcity = Smax(0, (L_d - L_s) / Smax(L_d + L_s, epsilon))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AutomationProfit = 1 - exp(-(p1 * LabourScarcity + p2 * Prod + p3 * Innovation * HCE))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TechSaturation = A / Smax(A_max, epsilon)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StructuralLimits = l1 * (1 - Inst) + l2 * Inf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Corruption = Smin(1, Smax(0, (1 - Inst) * (1 - u_c * U_corr) * (1 + c_v * V - c_r * R)))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StructuralDecay = Smin(1, Smax(0, (1 - Inst * R) * (1 + sd_a * RoutineAuto)))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K_pop = Smax(K_min, K0 * (k1 * Prod + k2 * HCE + k3 * Inst))</w:t>
      </w:r>
    </w:p>
    <w:p>
      <w:pPr>
        <w:spacing w:after="100"/>
      </w:pPr>
      <w:r>
        <w:rPr>
          <w:b w:val="0"/>
          <w:i w:val="0"/>
        </w:rPr>
        <w:t>EI, Innovation и StructuralLimits являются unbounded drivers unless explicitly bounded. Они не должны называться нормированными индексами без применения Smin(1, Smax(0, value)).</w:t>
      </w:r>
    </w:p>
    <w:p>
      <w:pPr>
        <w:pStyle w:val="Heading1"/>
      </w:pPr>
      <w:r>
        <w:t>6. Система ОДУ базового ядра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dA/dt = (alpha1 * Innovation + alpha2 * LabourScarcity + alpha3 * AutomationProfit) * (1 - A) - beta1 * A * (0.5 + 0.5 * Inst)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dProd/dt = (alpha4 * A + alpha5 * Innovation * HCE + alpha6 * Inst) * (1 - Prod) - (beta2 * TechSaturation + beta3 * StructuralLimits) * Prod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dCh/dt = (alpha7 * Innovation * Hill(G) + alpha8 * Comp + alpha9 * R + alpha10 * Education) * (1 - Ch) - (beta4 * RoutineAuto + beta5 * S) * Ch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dM/dt = (alpha11 * Ch + alpha12 * G + alpha13 * R + alpha14 * Inst) * (1 - M) - (beta6 * V + beta7 * S) * M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dG/dt = (alpha15 * M + alpha16 * Ch + alpha17 * LTG + alpha18 * Education) * (1 - G) - (beta8 * V + beta9 * IG + beta10 * S) * G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dV/dt = (alpha19 * Gap + alpha20 * S) * (1 - V) - (beta11 * M + beta12 * R) * V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dInst/dt = alpha_pos * (R * SocialCapital + gamma_inst * M * G) * (1 - Inst) - (NaturalDecay + beta_neg * (Corruption * V + StructuralDecay)) * Inst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dR/dt = alpha_rec * RecoveryDriver * (1 - R) - beta_rec_stress * (V + S) * R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dF/dt = (alpha_fert * M * G + alpha_fert_env * Env) * (4 - F) - (beta_fert_stress * S + beta_fert_inc * EI) * F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dP/dt = (BirthRate * (1 - P / K_pop) - DeathRate) * P + Migration(t)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Hill(G) = G^n / (Smax(K_g, epsilon)^n + G^n)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BirthRate = Smax(0.5 * sqrt(epsilon), b0 + b1 * (F / 4))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DeathRate = Smax(0, d0 + d1 * Aging + d2 * (1 - HCE))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Migration(t) = M_max * sigma(k_mig * (P_target - P))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sigma(z) = 1 / (1 + exp(-z))</w:t>
      </w:r>
    </w:p>
    <w:p>
      <w:pPr>
        <w:pStyle w:val="Heading1"/>
      </w:pPr>
      <w:r>
        <w:t>7. Инвариантность, гладкость и демографическое отщепление</w:t>
      </w:r>
    </w:p>
    <w:p>
      <w:pPr>
        <w:spacing w:after="100"/>
      </w:pPr>
      <w:r>
        <w:rPr>
          <w:b w:val="0"/>
          <w:i w:val="0"/>
        </w:rPr>
        <w:t>Для A, Prod, Ch, M, G, V, Inst, R уравнения имеют форму dX/dt = Gain(X) * (1 - X) - Loss(X) * X. При Gain &gt;= 0 и Loss &gt;= 0 интервал [0,1] положительно инвариантен.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If X = 0, then dX/dt = Gain(X) &gt;= 0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If X = 1, then dX/dt = -Loss(X) &lt;= 0</w:t>
      </w:r>
    </w:p>
    <w:p>
      <w:pPr>
        <w:spacing w:after="100"/>
      </w:pPr>
      <w:r>
        <w:rPr>
          <w:b w:val="0"/>
          <w:i w:val="0"/>
        </w:rPr>
        <w:t>Для F применяется аналогичная структура dF/dt = Gain_F * (4 - F) - Loss_F * F, что сохраняет F in [0,4].</w:t>
      </w:r>
    </w:p>
    <w:p>
      <w:pPr>
        <w:spacing w:after="100"/>
      </w:pPr>
      <w:r>
        <w:rPr>
          <w:b w:val="0"/>
          <w:i w:val="0"/>
        </w:rPr>
        <w:t>Для P неотрицательность следует из dP/dt = Migration(t) &gt;= 0 при P = 0. Верхняя граница требует использования K_bar = sup K_pop на Omega*_epsilon.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dP/dt &lt;= (B_max - d_min) * P - (B_max / K_bar) * P^2 + M_max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P_max &gt; P_star, where P_star is the positive root of the upper-bound quadratic</w:t>
      </w:r>
    </w:p>
    <w:p>
      <w:pPr>
        <w:spacing w:after="100"/>
      </w:pPr>
      <w:r>
        <w:rPr>
          <w:b w:val="0"/>
          <w:i w:val="0"/>
        </w:rPr>
        <w:t>Отщепление демографической моды выполняется только при P &gt;= epsilon.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L_s / P = 0.6 for P &gt;= epsilon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L_d / P = Smax(0, q1 + q2 * Prod - q3 * A)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dF_i / dP = 0 for i = 1,...,9 on Omega*_epsilon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J = [[A_9x9, 0_9x1], [J_10,1:9, J_10,10]]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spec(J) = spec(A_9x9) union {J_10,10}</w:t>
      </w:r>
    </w:p>
    <w:p>
      <w:pPr>
        <w:pStyle w:val="Heading1"/>
      </w:pPr>
      <w:r>
        <w:t>8. Исправленная структура Якобиана и обратных связей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Производная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Исправленный знак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Пояснение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dV/dCh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 снижает Gap через C - Ch.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Прямой loss term -beta11 * M * V.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 не входит в Gap или C в текущей алгебре.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dV/dInst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 повышает Education, Cult, C и Gap.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mixed / parameter-dependent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 повышает C/Gap, но входит в -beta12 * R * V.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dV/dP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 for P &gt;= epsilon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Следует из демографического отщепления.</w:t>
            </w:r>
          </w:p>
        </w:tc>
      </w:tr>
    </w:tbl>
    <w:p/>
    <w:p>
      <w:pPr>
        <w:spacing w:after="100"/>
      </w:pPr>
      <w:r>
        <w:rPr>
          <w:b w:val="0"/>
          <w:i w:val="0"/>
        </w:rPr>
        <w:t>Контур L2 больше не считается доказанным положительным контуром. Утверждение о гистерезисе требует отдельного бифуркационного анализа.</w:t>
      </w:r>
    </w:p>
    <w:p>
      <w:pPr>
        <w:pStyle w:val="Heading1"/>
      </w:pPr>
      <w:r>
        <w:t>9. Adaptive Dynamics Module</w:t>
      </w:r>
    </w:p>
    <w:p>
      <w:pPr>
        <w:spacing w:after="100"/>
      </w:pPr>
      <w:r>
        <w:rPr>
          <w:b w:val="0"/>
          <w:i w:val="0"/>
        </w:rPr>
        <w:t>Adaptive Dynamics Module — новый диагностический слой ACMF. Он формализует три идеи: фазовые переходы как объект прогноза, рассогласование быстрых и медленных подсистем как источник напряжения, и смену режима как следствие критичности, а не календарного цикла.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Новая величина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Насколько система близка к фазовому переходу?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Index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Какие подсистемы дают напряжение?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Attribution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TODO empirical validation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Связано ли напряжение с рассогласованием скоростей?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Time-Scale Mismatch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Каков риск смены режима?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Transition Probability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</w:tbl>
    <w:p/>
    <w:p>
      <w:pPr>
        <w:pStyle w:val="Heading1"/>
      </w:pPr>
      <w:r>
        <w:t>10. Inertial Potential</w:t>
      </w:r>
    </w:p>
    <w:p>
      <w:pPr>
        <w:spacing w:after="100"/>
      </w:pPr>
      <w:r>
        <w:rPr>
          <w:b w:val="0"/>
          <w:i w:val="0"/>
        </w:rPr>
        <w:t>Inertial Potential заменяет расплывчатое слово “инерция” на вычислимую величину. Он измеряет сопротивление медленных подсистем быстрым изменениям.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I(t) = a1 * DemographicInertia + a2 * InstitutionalInertia + a3 * CulturalPersistence + a4 * InfrastructureInertia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DemographicInertia = iP * P_norm + iAge * P3_share + iF * Smax(0, F_replacement - F)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InstitutionalInertia = iInst * Inst + iDecay * (1 - NaturalDecay_norm)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CulturalPersistence = iCult * Cult + iLTG * LTG</w:t>
      </w:r>
    </w:p>
    <w:p>
      <w:pPr>
        <w:spacing w:after="100"/>
      </w:pPr>
      <w:r>
        <w:rPr>
          <w:b w:val="0"/>
          <w:i w:val="0"/>
        </w:rPr>
        <w:t>Если часть факторов не наблюдается, они должны быть помечены как latent candidates и проверяться через H2, а не подставляться синтетически.</w:t>
      </w:r>
    </w:p>
    <w:p>
      <w:pPr>
        <w:pStyle w:val="Heading1"/>
      </w:pPr>
      <w:r>
        <w:t>11. Transformational Potential</w:t>
      </w:r>
    </w:p>
    <w:p>
      <w:pPr>
        <w:spacing w:after="100"/>
      </w:pPr>
      <w:r>
        <w:rPr>
          <w:b w:val="0"/>
          <w:i w:val="0"/>
        </w:rPr>
        <w:t>Transformational Potential заменяет слово “экспонента” на измеряемое давление быстрых изменений.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E(t) = b1 * abs(dA/dt) + b2 * abs(dProd/dt) + b3 * Innovation + b4 * AutomationProfit + b5 * TechnologyShock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TechnologyShock = external proxy or 0 if no observed source is available</w:t>
      </w:r>
    </w:p>
    <w:p>
      <w:pPr>
        <w:spacing w:after="100"/>
      </w:pPr>
      <w:r>
        <w:rPr>
          <w:b w:val="0"/>
          <w:i w:val="0"/>
        </w:rPr>
        <w:t>Если TechnologyShock не наблюдается, он не фабрикуется. В таком случае тестируется версия без него.</w:t>
      </w:r>
    </w:p>
    <w:p>
      <w:pPr>
        <w:pStyle w:val="Heading1"/>
      </w:pPr>
      <w:r>
        <w:t>12. Adaptive Capacity</w:t>
      </w:r>
    </w:p>
    <w:p>
      <w:pPr>
        <w:spacing w:after="100"/>
      </w:pPr>
      <w:r>
        <w:rPr>
          <w:b w:val="0"/>
          <w:i w:val="0"/>
        </w:rPr>
        <w:t>Adaptive Capacity измеряет способность системы поглощать быстрые изменения без перехода в кризисный режим.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AdaptiveCapacity(t) = c1 * M + c2 * R + c3 * Inst + c4 * Ch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c1 + c2 + c3 + c4 = 1</w:t>
      </w:r>
    </w:p>
    <w:p>
      <w:pPr>
        <w:spacing w:after="100"/>
      </w:pPr>
      <w:r>
        <w:rPr>
          <w:b w:val="0"/>
          <w:i w:val="0"/>
        </w:rPr>
        <w:t>Философски это способность общества адаптироваться через мобильность, восстановление, институты и человеческую субъектность.</w:t>
      </w:r>
    </w:p>
    <w:p>
      <w:pPr>
        <w:pStyle w:val="Heading1"/>
      </w:pPr>
      <w:r>
        <w:t>13. Time-Scale Mismatch</w:t>
      </w:r>
    </w:p>
    <w:p>
      <w:pPr>
        <w:spacing w:after="100"/>
      </w:pPr>
      <w:r>
        <w:rPr>
          <w:b w:val="0"/>
          <w:i w:val="0"/>
        </w:rPr>
        <w:t>Time-Scale Mismatch — центральная величина нового модуля. Она измеряет, насколько быстрое трансформационное давление превышает адаптационную емкость системы.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TimeScaleMismatch(t) = E(t) / Smax(AdaptiveCapacity(t), epsilon)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Alternative normalized form: TimeScaleMismatch_norm = sigmoid(k_mis * (E(t) - AdaptiveCapacity(t)))</w:t>
      </w:r>
    </w:p>
    <w:p>
      <w:pPr>
        <w:spacing w:after="100"/>
      </w:pPr>
      <w:r>
        <w:rPr>
          <w:b w:val="0"/>
          <w:i w:val="0"/>
        </w:rPr>
        <w:t>Если TimeScaleMismatch растет, это не доказывает фазовый переход, но создает проверяемую гипотезу о повышении критичности.</w:t>
      </w:r>
    </w:p>
    <w:p>
      <w:pPr>
        <w:pStyle w:val="Heading1"/>
      </w:pPr>
      <w:r>
        <w:t>14. Criticality Index</w:t>
      </w:r>
    </w:p>
    <w:p>
      <w:pPr>
        <w:spacing w:after="100"/>
      </w:pPr>
      <w:r>
        <w:rPr>
          <w:b w:val="0"/>
          <w:i w:val="0"/>
        </w:rPr>
        <w:t>Criticality Index объединяет стресс, структурные ограничения, коррупцию, экономическое давление и рассогласование скоростей, уменьшаясь при сильных институтах и восстановительной способности.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Criticality(t) = w1 * V + w2 * S + w3 * TimeScaleMismatch + w4 * StructuralLimits_bounded + w5 * Corruption + w6 * EI_bounded - w7 * R - w8 * Inst - w9 * AdaptiveCapacity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StructuralLimits_bounded = Smin(1, Smax(0, StructuralLimits))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EI_bounded = Smin(1, Smax(0, EI))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Criticality_bounded = Smin(1, Smax(0, Criticality_raw))</w:t>
      </w:r>
    </w:p>
    <w:p>
      <w:pPr>
        <w:spacing w:after="100"/>
      </w:pPr>
      <w:r>
        <w:rPr>
          <w:b w:val="0"/>
          <w:i w:val="0"/>
        </w:rPr>
        <w:t>В базовом диагностическом режиме Criticality не влияет на ОДУ. Он только оценивается и затем проверяется против ошибок прогноза, дрейфа параметров и событий смены режима.</w:t>
      </w:r>
    </w:p>
    <w:p>
      <w:pPr>
        <w:pStyle w:val="Heading1"/>
      </w:pPr>
      <w:r>
        <w:t>15. Phase Transition Probability</w:t>
      </w:r>
    </w:p>
    <w:p>
      <w:pPr>
        <w:spacing w:after="100"/>
      </w:pPr>
      <w:r>
        <w:rPr>
          <w:b w:val="0"/>
          <w:i w:val="0"/>
        </w:rPr>
        <w:t>Phase Transition Probability — вероятность смены режима на горизонте h. Она не задается календарным временем и не связана с 2040/2050 или 240-летними циклами.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Pr(Transition by t + h) = sigmoid(k0 + k1 * Criticality(t) + k2 * dCriticality/dt + k3 * TimeScaleMismatch(t) + k4 * V - k5 * R - k6 * Inst)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dCriticality/dt is estimated from observed or simulated Criticality trajectory</w:t>
      </w:r>
    </w:p>
    <w:p>
      <w:pPr>
        <w:spacing w:after="100"/>
      </w:pPr>
      <w:r>
        <w:rPr>
          <w:b w:val="0"/>
          <w:i w:val="0"/>
        </w:rPr>
        <w:t>Статус: UNVERIFIED-NUM. Формула является спецификацией проверяемой гипотезы, а не доказанным прогнозным законом.</w:t>
      </w:r>
    </w:p>
    <w:p>
      <w:pPr>
        <w:pStyle w:val="Heading1"/>
      </w:pPr>
      <w:r>
        <w:t>16. Связь Adaptive Dynamics с H0/H2/H1/H3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Интерпретация с Adaptive Dynamics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Критерий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не нужна; постоянные параметры и базовое состояние достаточны.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не улучшает out-of-sample прогноз и не объясняет residuals.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кажется важной из-за missing slow states.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Добавление Trust, Institutional Memory или Family Norm Persistence снижает drift и residuals.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предсказывает regime switch, после чего меняются effective parameters.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Theta = Theta(Regime) выигрывает out-of-sample и режимы интерпретируемы.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указывает на неправильную functional form.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Thresholds, delays или hysteresis улучшают out-of-sample после провала H0/H2/H1.</w:t>
            </w:r>
          </w:p>
        </w:tc>
      </w:tr>
    </w:tbl>
    <w:p/>
    <w:p>
      <w:pPr>
        <w:pStyle w:val="Heading1"/>
      </w:pPr>
      <w:r>
        <w:t>17. Новые проверяемые гипотезы C0/C1/C2/C3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Как отвергать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C0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не имеет объяснительной ценности.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Если Criticality не связан с residuals, parameter drift или regime labels.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объясняет drift параметров.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Если drift Theta(t) не зависит от Criticality(t).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C2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предсказывает смену режима.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Если режимные переходы не предсказываются лучше календарного тренда.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C3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Time-Scale Mismatch является leading indicator.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Если mismatch не растет перед крупными ошибками или regime switches.</w:t>
            </w:r>
          </w:p>
        </w:tc>
      </w:tr>
    </w:tbl>
    <w:p/>
    <w:p>
      <w:pPr>
        <w:pStyle w:val="Heading1"/>
      </w:pPr>
      <w:r>
        <w:t>18. Фаза II: калибровка, идентифицируемость и модельное сравнение</w:t>
      </w:r>
    </w:p>
    <w:p>
      <w:pPr>
        <w:spacing w:after="100"/>
      </w:pPr>
      <w:r>
        <w:rPr>
          <w:b w:val="0"/>
          <w:i w:val="0"/>
        </w:rPr>
        <w:t>Фаза II должна сравнивать не только варианты параметров, но и гипотезы H0/H2/H1/H3 плюс C0/C1/C2/C3. Все модели обязаны проходить одинаковые train/test splits, одинаковый optimization budget и одинаковые метрики.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Model A: Theta = const, current state, current functional form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Model B: Theta = const, expanded state, current functional form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Model C: Theta = Theta(Regime), current or expanded state, current functional form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Model D: modified functional form with thresholds, delays or hysteresis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Model E: ACMF + Adaptive Dynamics diagnostic features</w:t>
      </w:r>
    </w:p>
    <w:p>
      <w:pPr>
        <w:spacing w:after="100"/>
      </w:pPr>
      <w:r>
        <w:rPr>
          <w:b w:val="0"/>
          <w:i w:val="0"/>
        </w:rPr>
        <w:t>Метрики: RMSE, MAE, MedianAE, P90AE, out-of-sample log likelihood if available, parameter stability, bound-hit frequency, profile likelihood width, BIC-like penalty and rolling-origin validation.</w:t>
      </w:r>
    </w:p>
    <w:p>
      <w:pPr>
        <w:pStyle w:val="Heading1"/>
      </w:pPr>
      <w:r>
        <w:t>19. Фаза III: foresight, digital twin и transition-risk forecasting</w:t>
      </w:r>
    </w:p>
    <w:p>
      <w:pPr>
        <w:spacing w:after="100"/>
      </w:pPr>
      <w:r>
        <w:rPr>
          <w:b w:val="0"/>
          <w:i w:val="0"/>
        </w:rPr>
        <w:t>Фаза III расширяется от обычных сценариев к transition-risk forecasting. Цифровой двойник должен оценивать не только X(t), но и Criticality(t), TimeScaleMismatch(t), PhaseTransitionProbability(t, h) и вклад подсистем в критичность.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Digital Twin estimated state: X_hat(t), Theta_hat(t), Criticality_hat(t), TransitionRisk_hat(t,h)</w:t>
      </w:r>
    </w:p>
    <w:p>
      <w:pPr>
        <w:spacing w:after="60"/>
        <w:ind w:left="360"/>
      </w:pPr>
      <w:r>
        <w:rPr>
          <w:rFonts w:ascii="Aptos" w:hAnsi="Aptos"/>
          <w:color w:val="14283C"/>
          <w:sz w:val="18"/>
        </w:rPr>
        <w:t>Forecast output: trajectory forecast + transition-risk forecast + criticality attribution</w:t>
      </w:r>
    </w:p>
    <w:p>
      <w:pPr>
        <w:spacing w:after="100"/>
      </w:pPr>
      <w:r>
        <w:rPr>
          <w:b w:val="0"/>
          <w:i w:val="0"/>
        </w:rPr>
        <w:t>Сценарии теперь должны описывать не только конечные состояния, но и пути перехода между режимами.</w:t>
      </w:r>
    </w:p>
    <w:p>
      <w:pPr>
        <w:pStyle w:val="Heading1"/>
      </w:pPr>
      <w:r>
        <w:t>20. Минимальный план эмпирической проверки</w:t>
      </w:r>
    </w:p>
    <w:p>
      <w:pPr>
        <w:spacing w:after="100"/>
      </w:pPr>
      <w:r>
        <w:rPr>
          <w:b w:val="0"/>
          <w:i w:val="0"/>
        </w:rPr>
        <w:t>Перед включением Adaptive Dynamics в рабочую ОДУ-динамику нужно провести отдельный empirical validation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Тест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Цель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vs residuals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Проверить, растет ли Criticality перед крупными ошибками прогноза.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vs parameter drift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Проверить, связан ли drift параметров со значениями Criticality.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vs regime switches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Проверить, предсказывает ли Criticality смену режима лучше тренда.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Mismatch vs instability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Проверить, объясняет ли TimeScaleMismatch рост V, падение Inst или крупные residuals.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Ablation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 вклад каждого компонента Criticality.</w:t>
            </w:r>
          </w:p>
        </w:tc>
      </w:tr>
    </w:tbl>
    <w:p/>
    <w:p>
      <w:pPr>
        <w:pStyle w:val="Heading1"/>
      </w:pPr>
      <w:r>
        <w:t>21. Итоговый статус ACMF 3.3.1.2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Исправленное ОДУ-ядро ACMF 3.3.1.1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VALIDATED WITH CORRECTIONS APPLIED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Adaptive Dynamics Module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AS DIAGNOSTIC EXTENSION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Criticality Index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Phase Transition Probability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UNVERIFIED-NUM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Time-Scale Mismatch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DEFINED / TO BE EMPIRICALLY TESTED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Интеграция в ОДУ как feedback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TODO AFTER EMPIRICAL VALIDATION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Циклы и сценарные вероятности статьи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EXCLUDED</w:t>
            </w:r>
          </w:p>
        </w:tc>
      </w:tr>
    </w:tbl>
    <w:p/>
    <w:p>
      <w:pPr>
        <w:spacing w:after="100"/>
      </w:pPr>
      <w:r>
        <w:rPr>
          <w:b w:val="0"/>
          <w:i w:val="0"/>
        </w:rPr>
        <w:t>Финальная формулировка: ACMF 3.3.1.2 не переносит футурологические сценарии в модель. Она формализует общие процессы: быстрые и медленные подсистемы, критичность, фазовые переходы и вероятность смены режима. Это превращает ACMF из trajectory-only модели в исследовательскую архитектуру для анализа transition risk.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