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 Historical Roots of Compute Acceleration (Revised)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transition from general-purpose central processing units (CPUs) to domain-specific accelerators (DSAs) is not merely a trend in software preference, but a forced architectural migration dictated by the physical limits of silicon and the fundamental laws of thermodynamics. To understand the modern compute accelerator landscape, it is necessary to examine the historical triad of bottlenecks—compute, memory bandwidth, and energy efficiency—that rendered traditional scalar execution unsustainable for high-dimensional matrix mathematics across both hyperscale datacenters and mobile client devices.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Von Neumann Bottleneck and the Emergence of the Memory Wall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For decades, processor design was dominated by the Von Neumann architecture, a paradigm characterized by a shared memory space for both instructions and data, governed by a strict sequential processing cycle. In this architecture, every mathematical operation requires the CPU to execute a rigid sequence: fetch the instruction from memory, decode the instruction, fetch the necessary operand data, execute the calculation in the Arithmetic Logic Unit (ALU), and write the result back to memory.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While this fetch-decode-execute cycle provides unparalleled flexibility for branch-heavy control logic, it introduces severe inefficiencies for dense mathematical workloads. Over successive silicon generations, transistor switching speeds (logic) scaled significantly faster than DRAM access latencies and interface speeds, creating a growing performance chasm known as the </w:t>
      </w:r>
      <w:r w:rsidDel="00000000" w:rsidR="00000000" w:rsidRPr="00000000">
        <w:rPr>
          <w:b w:val="1"/>
          <w:bCs w:val="1"/>
          <w:sz w:val="22"/>
          <w:szCs w:val="22"/>
          <w:rtl w:val="0"/>
        </w:rPr>
        <w:t xml:space="preserve">Memory Wall</w:t>
      </w:r>
      <w:r w:rsidDel="00000000" w:rsidR="00000000" w:rsidRPr="00000000">
        <w:rPr>
          <w:sz w:val="22"/>
          <w:szCs w:val="22"/>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75" w:before="0" w:lineRule="auto"/>
        <w:ind w:left="0" w:right="0" w:firstLine="0"/>
        <w:rPr>
          <w:sz w:val="22"/>
          <w:szCs w:val="22"/>
        </w:rPr>
      </w:pPr>
      <w:r w:rsidDel="00000000" w:rsidR="00000000" w:rsidRPr="00000000">
        <w:rPr>
          <w:sz w:val="22"/>
          <w:szCs w:val="22"/>
          <w:rtl w:val="0"/>
        </w:rPr>
        <w:t xml:space="preserve">Crucially, the Memory Wall is not just a latency problem; it is a fundamental energy and bandwidth bottleneck. In modern CMOS technology, executing a floating-point operation requires orders of magnitude less energy (measured in picojoules) than the physical movement of the operands from main DRAM across the memory bus to the execution units. Consequently, when attempting to run massive neural networks on traditional CPUs, the execution pipelines stall waiting for data, and the system's thermal and power budget is consumed almost entirely by memory traversal rather than mathematical computation.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Power Wall: Dennard Scaling and Dark Silicon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Historically, CPU designers masked memory latency by increasing clock frequencies and extracting Instruction-Level Parallelism (ILP) through power-hungry techniques like superscalar pipelines, out-of-order execution, and aggressive branch prediction. This era of "free" performance scaling ended abruptly in the mid-2000s due to the breakdown of physical scaling laws, slamming the industry into the </w:t>
      </w:r>
      <w:r w:rsidDel="00000000" w:rsidR="00000000" w:rsidRPr="00000000">
        <w:rPr>
          <w:b w:val="1"/>
          <w:bCs w:val="1"/>
          <w:sz w:val="22"/>
          <w:szCs w:val="22"/>
          <w:rtl w:val="0"/>
        </w:rPr>
        <w:t xml:space="preserve">Power Wall</w:t>
      </w:r>
      <w:r w:rsidDel="00000000" w:rsidR="00000000" w:rsidRPr="00000000">
        <w:rPr>
          <w:sz w:val="22"/>
          <w:szCs w:val="22"/>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The Collapse of Dennard Scaling:</w:t>
      </w:r>
      <w:r w:rsidDel="00000000" w:rsidR="00000000" w:rsidRPr="00000000">
        <w:rPr>
          <w:sz w:val="22"/>
          <w:szCs w:val="22"/>
          <w:rtl w:val="0"/>
        </w:rPr>
        <w:t xml:space="preserve"> Formulated by Robert Dennard in 1974, this scaling law observed that as transistors shrank, their power density remained constant, allowing clock frequencies to scale upward without drastically increasing the thermal envelope. As gate lengths approached the deep nanometer regime, sub-threshold leakage current and thermal dissipation became unmanageable. This fundamental physics barrier largely capped general-purpose CPU frequencies in the 3.0 to 5.0 GHz range.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Dark Silicon and Energy Proportionality:</w:t>
      </w:r>
      <w:r w:rsidDel="00000000" w:rsidR="00000000" w:rsidRPr="00000000">
        <w:rPr>
          <w:sz w:val="22"/>
          <w:szCs w:val="22"/>
          <w:rtl w:val="0"/>
        </w:rPr>
        <w:t xml:space="preserve"> Because power dissipation limits failed to keep pace with Moore’s Law transistor density improvements, modern silicon designs suffer from the "dark silicon" phenomenon. A significant percentage of a high-density die cannot be actively powered simultaneously without exceeding the package's Thermal Design Power (TDP) and physically destroying the chip. This energy constraint forced architects to abandon the strategy of scaling general-purpose cores, driving the industry toward highly specialized, energy-proportional offload engines (accelerators) that dedicate die area to specific tasks with vastly superior performance-per-watt metrics.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Amdahl’s Law and Serial Bottlenecks:</w:t>
      </w:r>
      <w:r w:rsidDel="00000000" w:rsidR="00000000" w:rsidRPr="00000000">
        <w:rPr>
          <w:sz w:val="22"/>
          <w:szCs w:val="22"/>
          <w:rtl w:val="0"/>
        </w:rPr>
        <w:t xml:space="preserve"> Amdahl's Law dictates that the theoretical speedup of a system is strictly limited by the portion of the workload that cannot be parallelized. As CPUs integrated more cores (MIMD architecture), the overhead of cache coherence protocols and sequential instruction decoding yielded diminishing returns for heavily parallel data workloads.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The Transition to Vector Processing (SIMD)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To amortize the severe energy penalty of instruction fetching and decoding, CPU instruction set architectures (ISAs) evolved to incorporate </w:t>
      </w:r>
      <w:r w:rsidDel="00000000" w:rsidR="00000000" w:rsidRPr="00000000">
        <w:rPr>
          <w:b w:val="1"/>
          <w:bCs w:val="1"/>
          <w:sz w:val="22"/>
          <w:szCs w:val="22"/>
          <w:rtl w:val="0"/>
        </w:rPr>
        <w:t xml:space="preserve">Single Instruction, Multiple Data (SIMD)</w:t>
      </w:r>
      <w:r w:rsidDel="00000000" w:rsidR="00000000" w:rsidRPr="00000000">
        <w:rPr>
          <w:sz w:val="22"/>
          <w:szCs w:val="22"/>
          <w:rtl w:val="0"/>
        </w:rPr>
        <w:t xml:space="preserve"> extensions. Vector instruction sets—such as Intel’s MMX, SSE, and AVX-512, alongside ARM’s Neon—allowed a single decoded instruction (e.g., a fused multiply-add) to be broadcast across a wide vector register holding multiple data points.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75" w:before="0" w:lineRule="auto"/>
        <w:ind w:left="0" w:right="0" w:firstLine="0"/>
        <w:rPr>
          <w:sz w:val="22"/>
          <w:szCs w:val="22"/>
        </w:rPr>
      </w:pPr>
      <w:r w:rsidDel="00000000" w:rsidR="00000000" w:rsidRPr="00000000">
        <w:rPr>
          <w:sz w:val="22"/>
          <w:szCs w:val="22"/>
          <w:rtl w:val="0"/>
        </w:rPr>
        <w:t xml:space="preserve">While SIMD extensions vastly improved arithmetic throughput and energy efficiency for contiguous memory blocks by executing more operations per instruction fetch, they remained constrained. CPUs were still bound by limited register file capacity, high branch-misprediction penalties, and a hierarchical cache structure optimized for temporal locality (unpredictable pointer chasing) rather than the massive, deterministic spatial locality required by tensor transformations.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The GPGPU Revolution and Bandwidth Prioritization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In the datacenter, the definitive architectural divergence occurred with the evolution of graphics processing units (GPUs). Originally designed as fixed-function hardware pipelines to accelerate 3D rendering, GPUs transitioned into fully programmable unified shader architectures in the mid-2000s.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GPUs fundamentally bypassed the power and compute bottlenecks by abandoning complex out-of-order execution logic in favor of massive spatial density. By deploying thousands of simplified arithmetic logic units, GPUs achieved unprecedented floating-point density per square millimeter of silicon. To hide the latency of the memory wall, GPUs utilized aggressive hardware multithreading—rapidly context-switching to a new group of threads (warps) whenever one group stalled waiting for memory.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75" w:before="0" w:lineRule="auto"/>
        <w:ind w:left="0" w:right="0" w:firstLine="0"/>
        <w:rPr>
          <w:sz w:val="22"/>
          <w:szCs w:val="22"/>
        </w:rPr>
      </w:pPr>
      <w:r w:rsidDel="00000000" w:rsidR="00000000" w:rsidRPr="00000000">
        <w:rPr>
          <w:sz w:val="22"/>
          <w:szCs w:val="22"/>
          <w:rtl w:val="0"/>
        </w:rPr>
        <w:t xml:space="preserve">Furthermore, GPU architectures pioneered ultra-wide memory buses and heavily partitioned memory controllers (evolving from GDDR to High Bandwidth Memory, or HBM), permanently shifting the architectural priority from minimizing latency to maximizing massive, parallel memory throughput. The introduction of NVIDIA’s Compute Unified Device Architecture (CUDA) platform in 2006 provided the abstraction layer needed to treat these chips as General-Purpose GPUs (GPGPUs), establishing the foundational hardware substrate for cloud-based deep learning.</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The Mobile Imperative: SWaP-C and Early Edge Heterogeneity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While datacenters hit a thermal "Power Wall" at roughly 400W per node, the mobile and client-side computing industry was constrained by a much more draconian envelope. Mobile clients (smartphones, early tablets) operated strictly under 5W limits, relied on passive cooling (no fans), and were bound by absolute battery capacity limits. This environment is governed by </w:t>
      </w:r>
      <w:r w:rsidDel="00000000" w:rsidR="00000000" w:rsidRPr="00000000">
        <w:rPr>
          <w:b w:val="1"/>
          <w:bCs w:val="1"/>
          <w:sz w:val="22"/>
          <w:szCs w:val="22"/>
          <w:rtl w:val="0"/>
        </w:rPr>
        <w:t xml:space="preserve">SWaP-C</w:t>
      </w:r>
      <w:r w:rsidDel="00000000" w:rsidR="00000000" w:rsidRPr="00000000">
        <w:rPr>
          <w:sz w:val="22"/>
          <w:szCs w:val="22"/>
          <w:rtl w:val="0"/>
        </w:rPr>
        <w:t xml:space="preserve"> (Size, Weight, Power, and Cost).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In the early 2010s, as mobile workloads expanded into computational photography, real-time voice processing, and local sensor fusion, the mobile CPU (typically built on the ARM ISA) proved hopelessly inefficient. Fetching instructions for continuous, streaming digital signals drained batteries in minutes. Furthermore, offloading these tasks to the cloud was an unviable long-term solution due to severe latency penalties, network bandwidth saturation, and absolute user privacy concerns.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This strict mobile Power Wall forced an evolutionary split in silicon design long before the AI boom: the rise of the highly heterogeneous </w:t>
      </w:r>
      <w:r w:rsidDel="00000000" w:rsidR="00000000" w:rsidRPr="00000000">
        <w:rPr>
          <w:b w:val="1"/>
          <w:bCs w:val="1"/>
          <w:sz w:val="22"/>
          <w:szCs w:val="22"/>
          <w:rtl w:val="0"/>
        </w:rPr>
        <w:t xml:space="preserve">System-on-Chip (SoC)</w:t>
      </w:r>
      <w:r w:rsidDel="00000000" w:rsidR="00000000" w:rsidRPr="00000000">
        <w:rPr>
          <w:sz w:val="22"/>
          <w:szCs w:val="22"/>
          <w:rtl w:val="0"/>
        </w:rPr>
        <w:t xml:space="preserve">. To preserve battery life, mobile hardware architects historically offloaded matrix and signal math from the CPU to dedicated </w:t>
      </w:r>
      <w:r w:rsidDel="00000000" w:rsidR="00000000" w:rsidRPr="00000000">
        <w:rPr>
          <w:b w:val="1"/>
          <w:bCs w:val="1"/>
          <w:sz w:val="22"/>
          <w:szCs w:val="22"/>
          <w:rtl w:val="0"/>
        </w:rPr>
        <w:t xml:space="preserve">Digital Signal Processors (DSPs)</w:t>
      </w:r>
      <w:r w:rsidDel="00000000" w:rsidR="00000000" w:rsidRPr="00000000">
        <w:rPr>
          <w:sz w:val="22"/>
          <w:szCs w:val="22"/>
          <w:rtl w:val="0"/>
        </w:rPr>
        <w:t xml:space="preserve"> and </w:t>
      </w:r>
      <w:r w:rsidDel="00000000" w:rsidR="00000000" w:rsidRPr="00000000">
        <w:rPr>
          <w:b w:val="1"/>
          <w:bCs w:val="1"/>
          <w:sz w:val="22"/>
          <w:szCs w:val="22"/>
          <w:rtl w:val="0"/>
        </w:rPr>
        <w:t xml:space="preserve">Image Signal Processors (ISPs)</w:t>
      </w:r>
      <w:r w:rsidDel="00000000" w:rsidR="00000000" w:rsidRPr="00000000">
        <w:rPr>
          <w:sz w:val="22"/>
          <w:szCs w:val="22"/>
          <w:rtl w:val="0"/>
        </w:rPr>
        <w:t xml:space="preserve">. These early specialized cores utilized highly deterministic, low-precision fixed-point math and static memory buffers to achieve tasks at fractions of a milliwatt.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This historic necessity to partition tasks on mobile SoCs laid the direct architectural blueprint for the modern Neural Processing Unit (NPU). However, bridging the gap between GPU thread-parallelism and ultra-efficient edge execution requires a fundamental shift in how instructions dictate execution logic—moving from temporal control-flow scaling into the domain of spatial dataflow computing, which we dissect in the following chapter.</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300" w:before="300" w:line="32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20" w:before="240" w:lineRule="auto"/>
      <w:ind w:left="0" w:right="0" w:firstLine="0"/>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75" w:lineRule="auto"/>
      <w:ind w:left="0" w:right="0" w:firstLine="0"/>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70" w:lineRule="auto"/>
      <w:ind w:left="0" w:right="0" w:firstLine="0"/>
    </w:pPr>
    <w:rPr>
      <w:b w:val="1"/>
      <w:bCs w:val="1"/>
      <w:i w:val="0"/>
      <w:iCs w:val="0"/>
      <w:color w:val="4a556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