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2: Hardware Architectures and Execution Models (With Client-Side Extensions)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75" w:before="0" w:lineRule="auto"/>
        <w:ind w:left="0" w:right="0" w:firstLine="0"/>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The transition from general-purpose processing to domain-specific accelerators (DSAs) requires a fundamental redesign of how silicon manages control logic, execution instructions, and data traversal. The computational patterns of deep learning—specifically dense General Matrix Multiplications (GEMMs)—expose the inefficiencies of standard instruction-set overheads. This chapter contrasts traditional temporal control-flow architectures against modern spatial dataflow paradigms, establishing the mechanical differences between vector extensions, massive multi-threading, and specialized systolic arrays.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Control-Flow vs. Dataflow Paradigms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0" w:before="0" w:lineRule="auto"/>
        <w:ind w:left="0" w:right="0" w:firstLine="0"/>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At the core of processor design are two fundamentally distinct operational paradigms: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22"/>
          <w:szCs w:val="22"/>
          <w:rtl w:val="0"/>
        </w:rPr>
        <w:t xml:space="preserve">Temporal (Von Neumann) Control-Flow:</w:t>
      </w:r>
      <w:r w:rsidDel="00000000" w:rsidR="00000000" w:rsidRPr="00000000">
        <w:rPr>
          <w:sz w:val="22"/>
          <w:szCs w:val="22"/>
          <w:rtl w:val="0"/>
        </w:rPr>
        <w:t xml:space="preserve"> Execution is dictated by a sequential stream of instructions. The program counter dictates the temporal progression of logic, requiring hardware to constantly fetch, decode, and schedule instructions to physical Arithmetic Logic Units (ALUs). While highly flexible for complex branching and operating system kernels, the energy expended on managing the control logic often dwarfs the energy spent performing the actual mathematics.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90" w:before="0" w:beforeAutospacing="0" w:lineRule="auto"/>
        <w:ind w:right="0" w:hanging="60"/>
      </w:pPr>
      <w:r w:rsidDel="00000000" w:rsidR="00000000" w:rsidRPr="00000000">
        <w:rPr>
          <w:b w:val="1"/>
          <w:bCs w:val="1"/>
          <w:sz w:val="22"/>
          <w:szCs w:val="22"/>
          <w:rtl w:val="0"/>
        </w:rPr>
        <w:t xml:space="preserve">Spatial Dataflow Execution:</w:t>
      </w:r>
      <w:r w:rsidDel="00000000" w:rsidR="00000000" w:rsidRPr="00000000">
        <w:rPr>
          <w:sz w:val="22"/>
          <w:szCs w:val="22"/>
          <w:rtl w:val="0"/>
        </w:rPr>
        <w:t xml:space="preserve"> In a spatial architecture, the physical layout of the processing elements mirrors the structure of the computation graph. Instructions are mapped physically onto a network of computing elements, and execution is triggered not by a program counter, but by the availability of data arriving at the physical node. This paradigm largely eliminates instruction fetch-decode overhead during the compute phase, prioritizing pure data movement.</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Taxonomy of Parallelism &amp; Hardware Paradigms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70" w:before="0" w:lineRule="auto"/>
        <w:ind w:left="0" w:right="0" w:firstLine="0"/>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To contextualize the accelerator landscape, we categorize compute architectures by their approach to parallelism:</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MIMD (Multiple Instruction, Multiple Data): The Multicore CPU</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70" w:before="0" w:lineRule="auto"/>
        <w:ind w:left="0" w:right="0" w:firstLine="0"/>
        <w:rPr>
          <w:sz w:val="22"/>
          <w:szCs w:val="22"/>
        </w:rPr>
      </w:pPr>
      <w:r w:rsidDel="00000000" w:rsidR="00000000" w:rsidRPr="00000000">
        <w:rPr>
          <w:sz w:val="22"/>
          <w:szCs w:val="22"/>
          <w:rtl w:val="0"/>
        </w:rPr>
        <w:t xml:space="preserve">In MIMD architectures, independent processing cores execute distinct instruction streams on different datasets. Modern CPUs rely heavily on this model to maintain thread-level parallelism. While MIMD provides absolute flexibility and superior single-thread performance, it suffers from severe instruction-decoding overhead and low compute density per unit of silicon area. CPUs dedicate massive die real estate to L1/L2 caches, branch predictors, and out-of-order execution windows rather than raw ALUs.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SIMD (Single Instruction, Multiple Data): Vector Extensions and GPUs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0" w:before="0" w:lineRule="auto"/>
        <w:ind w:left="0" w:right="0" w:firstLine="0"/>
        <w:rPr>
          <w:sz w:val="22"/>
          <w:szCs w:val="22"/>
        </w:rPr>
      </w:pPr>
      <w:r w:rsidDel="00000000" w:rsidR="00000000" w:rsidRPr="00000000">
        <w:rPr>
          <w:sz w:val="22"/>
          <w:szCs w:val="22"/>
          <w:rtl w:val="0"/>
        </w:rPr>
        <w:t xml:space="preserve">SIMD architectures amortize instruction fetch overhead by broadcasting a single instruction to an array of ALUs, executing the same operation simultaneously across multiple data points. GPUs leverage a variant of this known as Single Instruction, Multiple Threads (SIMT). By maintaining dense arrays of ALUs (Streaming Multiprocessors in NVIDIA parlance), GPUs achieve massive arithmetic throughput.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70" w:before="0" w:lineRule="auto"/>
        <w:ind w:left="0" w:right="0" w:firstLine="0"/>
        <w:rPr>
          <w:sz w:val="22"/>
          <w:szCs w:val="22"/>
        </w:rPr>
      </w:pPr>
      <w:r w:rsidDel="00000000" w:rsidR="00000000" w:rsidRPr="00000000">
        <w:rPr>
          <w:sz w:val="22"/>
          <w:szCs w:val="22"/>
          <w:rtl w:val="0"/>
        </w:rPr>
        <w:t xml:space="preserve">However, traditional SIMD engines are fundamentally limited by register file pressure and thread divergence. In a standard GPU GEMM operation, each dot product requires loading operands from a cache or shared memory, executing the multiply-accumulate (MAC), and writing the intermediate partial sum back to a massive, centralized register file. This constant SRAM read/write cycle introduces severe energy penalties and exposes the system to thermal throttling under sustained loads.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Systolic Arrays: The Domain-Specific Matrix Accelerator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0" w:before="0" w:lineRule="auto"/>
        <w:ind w:left="0" w:right="0" w:firstLine="0"/>
        <w:rPr>
          <w:sz w:val="22"/>
          <w:szCs w:val="22"/>
        </w:rPr>
      </w:pPr>
      <w:r w:rsidDel="00000000" w:rsidR="00000000" w:rsidRPr="00000000">
        <w:rPr>
          <w:sz w:val="22"/>
          <w:szCs w:val="22"/>
          <w:rtl w:val="0"/>
        </w:rPr>
        <w:t xml:space="preserve">To overcome the register file limitations of SIMD GPUs, Domain-Specific Accelerators like the Google Tensor Processing Unit (TPU) deploy </w:t>
      </w:r>
      <w:r w:rsidDel="00000000" w:rsidR="00000000" w:rsidRPr="00000000">
        <w:rPr>
          <w:b w:val="1"/>
          <w:bCs w:val="1"/>
          <w:sz w:val="22"/>
          <w:szCs w:val="22"/>
          <w:rtl w:val="0"/>
        </w:rPr>
        <w:t xml:space="preserve">Systolic Arrays</w:t>
      </w:r>
      <w:r w:rsidDel="00000000" w:rsidR="00000000" w:rsidRPr="00000000">
        <w:rPr>
          <w:sz w:val="22"/>
          <w:szCs w:val="22"/>
          <w:rtl w:val="0"/>
        </w:rPr>
        <w:t xml:space="preserve">—the quintessential spatial architecture for AI. A systolic array replaces independent ALUs with a tightly coupled 2D mesh of simplified Processing Elements (PEs).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0" w:before="0" w:lineRule="auto"/>
        <w:ind w:left="0" w:right="0" w:firstLine="0"/>
        <w:rPr>
          <w:sz w:val="22"/>
          <w:szCs w:val="22"/>
        </w:rPr>
      </w:pPr>
      <w:r w:rsidDel="00000000" w:rsidR="00000000" w:rsidRPr="00000000">
        <w:rPr>
          <w:sz w:val="22"/>
          <w:szCs w:val="22"/>
          <w:rtl w:val="0"/>
        </w:rPr>
        <w:t xml:space="preserve">A systolic array operates by pumping data through the grid in orchestrated clock steps, much like blood pumping through a biological system. Rather than constantly reading and writing intermediate values to a central register file, a systolic array passes data directly between adjacent PEs. The mechanical operation works as follows: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22"/>
          <w:szCs w:val="22"/>
          <w:rtl w:val="0"/>
        </w:rPr>
        <w:t xml:space="preserve">The Processing Element (PE):</w:t>
      </w:r>
      <w:r w:rsidDel="00000000" w:rsidR="00000000" w:rsidRPr="00000000">
        <w:rPr>
          <w:sz w:val="22"/>
          <w:szCs w:val="22"/>
          <w:rtl w:val="0"/>
        </w:rPr>
        <w:t xml:space="preserve"> Each PE is minimal, containing little more than a Multiply-Accumulate (MAC) unit, a local accumulator register, and forwarding logic.</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2"/>
          <w:szCs w:val="22"/>
          <w:rtl w:val="0"/>
        </w:rPr>
        <w:t xml:space="preserve">Weight-Stationary Dataflow:</w:t>
      </w:r>
      <w:r w:rsidDel="00000000" w:rsidR="00000000" w:rsidRPr="00000000">
        <w:rPr>
          <w:sz w:val="22"/>
          <w:szCs w:val="22"/>
          <w:rtl w:val="0"/>
        </w:rPr>
        <w:t xml:space="preserve"> In the TPU’s Matrix Multiply Unit (MXU), weights are pre-loaded into the PEs from local SRAM buffers and remain stationary.</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2"/>
          <w:szCs w:val="22"/>
          <w:rtl w:val="0"/>
        </w:rPr>
        <w:t xml:space="preserve">Streaming Activations:</w:t>
      </w:r>
      <w:r w:rsidDel="00000000" w:rsidR="00000000" w:rsidRPr="00000000">
        <w:rPr>
          <w:sz w:val="22"/>
          <w:szCs w:val="22"/>
          <w:rtl w:val="0"/>
        </w:rPr>
        <w:t xml:space="preserve"> Input activations flow horizontally across the array row by row. As they intersect with the stationary weights, the PEs perform a multiplication.</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90" w:before="0" w:beforeAutospacing="0" w:lineRule="auto"/>
        <w:ind w:right="0" w:hanging="60"/>
      </w:pPr>
      <w:r w:rsidDel="00000000" w:rsidR="00000000" w:rsidRPr="00000000">
        <w:rPr>
          <w:b w:val="1"/>
          <w:bCs w:val="1"/>
          <w:sz w:val="22"/>
          <w:szCs w:val="22"/>
          <w:rtl w:val="0"/>
        </w:rPr>
        <w:t xml:space="preserve">Vertical Accumulation:</w:t>
      </w:r>
      <w:r w:rsidDel="00000000" w:rsidR="00000000" w:rsidRPr="00000000">
        <w:rPr>
          <w:sz w:val="22"/>
          <w:szCs w:val="22"/>
          <w:rtl w:val="0"/>
        </w:rPr>
        <w:t xml:space="preserve"> The resulting partial sum is passed vertically to the neighboring PE in the next clock cycle, accumulating with the result of the adjacent operation.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70" w:before="180" w:lineRule="auto"/>
        <w:ind w:left="0" w:right="0" w:firstLine="0"/>
        <w:rPr>
          <w:sz w:val="22"/>
          <w:szCs w:val="22"/>
        </w:rPr>
      </w:pPr>
      <w:r w:rsidDel="00000000" w:rsidR="00000000" w:rsidRPr="00000000">
        <w:rPr>
          <w:b w:val="1"/>
          <w:bCs w:val="1"/>
          <w:sz w:val="22"/>
          <w:szCs w:val="22"/>
          <w:rtl w:val="0"/>
        </w:rPr>
        <w:t xml:space="preserve">The Energy Advantage:</w:t>
      </w:r>
      <w:r w:rsidDel="00000000" w:rsidR="00000000" w:rsidRPr="00000000">
        <w:rPr>
          <w:sz w:val="22"/>
          <w:szCs w:val="22"/>
          <w:rtl w:val="0"/>
        </w:rPr>
        <w:t xml:space="preserve"> By passing intermediate partial sums directly over extremely short, dedicated physical wires between PEs, systolic arrays effectively eliminate the $O(N^2)$ SRAM accesses that a SIMD processor would require for the same matrix calculation. The TPU only performs SRAM reads and writes at the physical boundaries of the array, converting a memory-bound operation into a highly compute-dense, energy-efficient data flow.</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FPGAs &amp; Reconfigurable Logic</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75" w:before="0" w:lineRule="auto"/>
        <w:ind w:left="0" w:right="0" w:firstLine="0"/>
        <w:rPr>
          <w:sz w:val="22"/>
          <w:szCs w:val="22"/>
        </w:rPr>
      </w:pPr>
      <w:r w:rsidDel="00000000" w:rsidR="00000000" w:rsidRPr="00000000">
        <w:rPr>
          <w:sz w:val="22"/>
          <w:szCs w:val="22"/>
          <w:rtl w:val="0"/>
        </w:rPr>
        <w:t xml:space="preserve">Field Programmable Gate Arrays (FPGAs) represent a highly flexible subset of spatial computing. Rather than hardwiring a systolic array into silicon (ASIC), FPGAs allow hardware logic gates, routing pathways, and interconnects to be dynamically programmed after manufacturing. This allows engineers to map custom neural network architectures directly into physical hardware pipelines, achieving deterministic execution latency and batch-size-1 streaming inference that cannot be matched by batched GPU execution, albeit at much lower absolute clock frequencies.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Memory Subsystem Taxonomy &amp; Host Orchestration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0" w:before="0" w:lineRule="auto"/>
        <w:ind w:left="0" w:right="0" w:firstLine="0"/>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The efficiency of any execution model is bound by how it interacts with memory. In both hyperscale datacenters and client-side devices, the physical proximity and control mechanism of memory define the accelerator's capability.</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22"/>
          <w:szCs w:val="22"/>
          <w:rtl w:val="0"/>
        </w:rPr>
        <w:t xml:space="preserve">Unified Memory Architectures (UMA) vs. Discrete VRAM:</w:t>
      </w:r>
    </w:p>
    <w:p w:rsidR="00000000" w:rsidDel="00000000" w:rsidP="00000000" w:rsidRDefault="00000000" w:rsidRPr="00000000" w14:paraId="0000001B">
      <w:pPr>
        <w:numPr>
          <w:ilvl w:val="1"/>
          <w:numId w:val="4"/>
        </w:numPr>
        <w:pBdr>
          <w:top w:space="0" w:sz="0" w:val="nil"/>
          <w:left w:space="0" w:sz="0" w:val="nil"/>
          <w:bottom w:space="0" w:sz="0" w:val="nil"/>
          <w:right w:space="0" w:sz="0" w:val="nil"/>
          <w:between w:space="0" w:sz="0" w:val="nil"/>
        </w:pBdr>
        <w:shd w:fill="auto" w:val="clear"/>
        <w:spacing w:after="0" w:afterAutospacing="0" w:before="0" w:lineRule="auto"/>
        <w:ind w:left="600" w:right="0" w:hanging="360"/>
      </w:pPr>
      <w:r w:rsidDel="00000000" w:rsidR="00000000" w:rsidRPr="00000000">
        <w:rPr>
          <w:i w:val="1"/>
          <w:iCs w:val="1"/>
          <w:sz w:val="22"/>
          <w:szCs w:val="22"/>
          <w:rtl w:val="0"/>
        </w:rPr>
        <w:t xml:space="preserve">Discrete VRAM (Datacenter/Desktop GPUs):</w:t>
      </w:r>
      <w:r w:rsidDel="00000000" w:rsidR="00000000" w:rsidRPr="00000000">
        <w:rPr>
          <w:sz w:val="22"/>
          <w:szCs w:val="22"/>
          <w:rtl w:val="0"/>
        </w:rPr>
        <w:t xml:space="preserve"> Rely on dedicated, ultra-high-bandwidth memory (HBM3e/HBM4 or GDDR6) packaged alongside the compute die. However, transferring data from the host CPU memory across the high-latency PCIe bus to the accelerator incurs a severe serialization penalty.</w:t>
      </w:r>
    </w:p>
    <w:p w:rsidR="00000000" w:rsidDel="00000000" w:rsidP="00000000" w:rsidRDefault="00000000" w:rsidRPr="00000000" w14:paraId="0000001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600" w:right="0" w:hanging="360"/>
      </w:pPr>
      <w:r w:rsidDel="00000000" w:rsidR="00000000" w:rsidRPr="00000000">
        <w:rPr>
          <w:i w:val="1"/>
          <w:iCs w:val="1"/>
          <w:sz w:val="22"/>
          <w:szCs w:val="22"/>
          <w:rtl w:val="0"/>
        </w:rPr>
        <w:t xml:space="preserve">Integrated Client SoC Model (UMA):</w:t>
      </w:r>
      <w:r w:rsidDel="00000000" w:rsidR="00000000" w:rsidRPr="00000000">
        <w:rPr>
          <w:sz w:val="22"/>
          <w:szCs w:val="22"/>
          <w:rtl w:val="0"/>
        </w:rPr>
        <w:t xml:space="preserve"> Edge NPUs, GPUs, and CPUs share a single pool of physical system memory (e.g., LPDDR5X) on the same System-on-Chip. This eliminates redundant PCIe copying, allowing different heterogeneous compute blocks to access the same tensor weights without data duplication. However, the NPU’s memory bandwidth is structurally capped by the narrower shared system bus.</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right="0" w:hanging="60"/>
      </w:pPr>
      <w:r w:rsidDel="00000000" w:rsidR="00000000" w:rsidRPr="00000000">
        <w:rPr>
          <w:b w:val="1"/>
          <w:bCs w:val="1"/>
          <w:sz w:val="22"/>
          <w:szCs w:val="22"/>
          <w:rtl w:val="0"/>
        </w:rPr>
        <w:t xml:space="preserve">Cache Management Taxonomies:</w:t>
      </w:r>
      <w:r w:rsidDel="00000000" w:rsidR="00000000" w:rsidRPr="00000000">
        <w:rPr>
          <w:sz w:val="22"/>
          <w:szCs w:val="22"/>
          <w:rtl w:val="0"/>
        </w:rPr>
        <w:t xml:space="preserve"> Traditional hardware relies on hardware-managed hierarchical caches (L1/L2/L3) utilizing complex coherence protocols. Conversely, modern DSAs (like Google's TPU or Groq's LPU) utilize </w:t>
      </w:r>
      <w:r w:rsidDel="00000000" w:rsidR="00000000" w:rsidRPr="00000000">
        <w:rPr>
          <w:b w:val="1"/>
          <w:bCs w:val="1"/>
          <w:sz w:val="22"/>
          <w:szCs w:val="22"/>
          <w:rtl w:val="0"/>
        </w:rPr>
        <w:t xml:space="preserve">Direct-Managed Scratchpad Memories (SRAM)</w:t>
      </w:r>
      <w:r w:rsidDel="00000000" w:rsidR="00000000" w:rsidRPr="00000000">
        <w:rPr>
          <w:sz w:val="22"/>
          <w:szCs w:val="22"/>
          <w:rtl w:val="0"/>
        </w:rPr>
        <w:t xml:space="preserve">. These are software-controlled static RAM pools that require the compiler to explicitly orchestrate all Direct Memory Access (DMA) transfers. This strips away cache-coherency overhead, providing highly deterministic, predictable data-streaming patterns critical for real-time inference.</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90" w:before="0" w:beforeAutospacing="0" w:lineRule="auto"/>
        <w:ind w:right="0" w:hanging="60"/>
      </w:pPr>
      <w:r w:rsidDel="00000000" w:rsidR="00000000" w:rsidRPr="00000000">
        <w:rPr>
          <w:b w:val="1"/>
          <w:bCs w:val="1"/>
          <w:sz w:val="22"/>
          <w:szCs w:val="22"/>
          <w:rtl w:val="0"/>
        </w:rPr>
        <w:t xml:space="preserve">Host-to-Accelerator Polling Overhead:</w:t>
      </w:r>
      <w:r w:rsidDel="00000000" w:rsidR="00000000" w:rsidRPr="00000000">
        <w:rPr>
          <w:sz w:val="22"/>
          <w:szCs w:val="22"/>
          <w:rtl w:val="0"/>
        </w:rPr>
        <w:t xml:space="preserve"> On mobile platforms, offloading workloads to an NPU introduces hidden energy costs. The host CPU must orchestrate task execution, handle Remote Procedure Call (RPC) polling, and manage driver-level synchronization. Research demonstrates that during NPU-accelerated inference, the host CPU can consume up to 30% of total system energy simply waiting and polling for the accelerator to finish. Advanced SoC scheduling is required to minimize this sleep-latency timing mismatch.</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Client-Side Execution Taxonomies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0" w:before="0" w:lineRule="auto"/>
        <w:ind w:left="0" w:right="0" w:firstLine="0"/>
        <w:rPr>
          <w:sz w:val="22"/>
          <w:szCs w:val="22"/>
        </w:rPr>
      </w:pPr>
      <w:r w:rsidDel="00000000" w:rsidR="00000000" w:rsidRPr="00000000">
        <w:pict>
          <v:rect style="width:0.0pt;height:1.5pt" o:hr="t" o:hrstd="t" o:hralign="center" fillcolor="#A0A0A0" stroked="f"/>
        </w:pict>
      </w:r>
      <w:r w:rsidDel="00000000" w:rsidR="00000000" w:rsidRPr="00000000">
        <w:rPr>
          <w:sz w:val="22"/>
          <w:szCs w:val="22"/>
          <w:rtl w:val="0"/>
        </w:rPr>
        <w:t xml:space="preserve">Client-side accelerators (NPUs) diverge from enterprise DSAs in their operational flexibility:</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0" w:afterAutospacing="0" w:before="0" w:lineRule="auto"/>
        <w:ind w:right="0" w:hanging="60"/>
      </w:pPr>
      <w:r w:rsidDel="00000000" w:rsidR="00000000" w:rsidRPr="00000000">
        <w:rPr>
          <w:b w:val="1"/>
          <w:bCs w:val="1"/>
          <w:sz w:val="22"/>
          <w:szCs w:val="22"/>
          <w:rtl w:val="0"/>
        </w:rPr>
        <w:t xml:space="preserve">The Precision-Flexibility Trade-off:</w:t>
      </w:r>
      <w:r w:rsidDel="00000000" w:rsidR="00000000" w:rsidRPr="00000000">
        <w:rPr>
          <w:sz w:val="22"/>
          <w:szCs w:val="22"/>
          <w:rtl w:val="0"/>
        </w:rPr>
        <w:t xml:space="preserve"> Enterprise hardware supports dynamic execution of diverse microscaling datatypes (FP8, FP6, FP4, and MX formats) to balance training precision with inference speed. Client-side NPUs are strictly optimized for maximum spatial density and minimal power draw, typically hardwiring arrays for static low-power integer arithmetic (INT8 and INT4). When novel AI architectures require dynamic precision scaling or non-standard activation functions, NPUs often fail, forcing the runtime to fall back to the power-hungry integrated GPU or CPU.</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90" w:before="0" w:beforeAutospacing="0" w:lineRule="auto"/>
        <w:ind w:right="0" w:hanging="60"/>
      </w:pPr>
      <w:r w:rsidDel="00000000" w:rsidR="00000000" w:rsidRPr="00000000">
        <w:rPr>
          <w:b w:val="1"/>
          <w:bCs w:val="1"/>
          <w:sz w:val="22"/>
          <w:szCs w:val="22"/>
          <w:rtl w:val="0"/>
        </w:rPr>
        <w:t xml:space="preserve">Heterogeneous Task Partitioning:</w:t>
      </w:r>
      <w:r w:rsidDel="00000000" w:rsidR="00000000" w:rsidRPr="00000000">
        <w:rPr>
          <w:sz w:val="22"/>
          <w:szCs w:val="22"/>
          <w:rtl w:val="0"/>
        </w:rPr>
        <w:t xml:space="preserve"> Modern edge inference requires intelligent orchestration across the SoC. The CPU excels at sequential, branch-heavy logic and dot-product operations that bypass memory setup overhead. The integrated GPU is scaled for large-batch, compute-bound matrix multiplications. The edge NPU, meanwhile, is precision-scaled for memory-bound, low-batch matrix-vector operations, prioritizing sustained Tokens-per-Joule efficiency over peak theoretical throughput.</w:t>
      </w:r>
    </w:p>
    <w:sectPr>
      <w:pgSz w:h="15840" w:w="12240" w:orient="portrait"/>
      <w:pgMar w:bottom="300" w:top="300" w:left="300" w:right="3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300" w:before="300" w:line="324.0000057220459" w:lineRule="auto"/>
        <w:ind w:left="300" w:right="3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420" w:before="240" w:lineRule="auto"/>
      <w:ind w:left="0" w:right="0" w:firstLine="0"/>
    </w:pPr>
    <w:rPr>
      <w:b w:val="1"/>
      <w:bCs w:val="1"/>
      <w:i w:val="0"/>
      <w:iCs w:val="0"/>
      <w:color w:val="1a365d"/>
      <w:sz w:val="44"/>
      <w:szCs w:val="44"/>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40" w:before="375" w:lineRule="auto"/>
      <w:ind w:left="0" w:right="0" w:firstLine="0"/>
    </w:pPr>
    <w:rPr>
      <w:b w:val="1"/>
      <w:bCs w:val="1"/>
      <w:i w:val="0"/>
      <w:iCs w:val="0"/>
      <w:color w:val="2b6cb0"/>
      <w:sz w:val="30"/>
      <w:szCs w:val="3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70" w:lineRule="auto"/>
      <w:ind w:left="0" w:right="0" w:firstLine="0"/>
    </w:pPr>
    <w:rPr>
      <w:b w:val="1"/>
      <w:bCs w:val="1"/>
      <w:i w:val="0"/>
      <w:iCs w:val="0"/>
      <w:color w:val="4a556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