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Survey of Compute Accelerator Hardware: Architectures, Historical Performance Models, and the AI Landscape (V5 - Final Outline)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b w:val="1"/>
          <w:bCs w:val="1"/>
          <w:sz w:val="22"/>
          <w:szCs w:val="2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Master Structural Outline and Complete Conceptual Taxonomy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75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This document presents the definitive master structural outline for our academic survey paper on compute accelerator hardware. This framework enforces strict logical progression (Workloads First) and integrates comprehensive client-side, mobile, edge, and sovereign architectural considerations alongside advanced mathematical performance modeling.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Chapter 1: Historical Roots of Compute Acceleration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Von Neumann Bottleneck:</w:t>
      </w:r>
      <w:r w:rsidDel="00000000" w:rsidR="00000000" w:rsidRPr="00000000">
        <w:rPr>
          <w:sz w:val="22"/>
          <w:szCs w:val="22"/>
          <w:rtl w:val="0"/>
        </w:rPr>
        <w:t xml:space="preserve"> CPU instruction-fetch/decode bottlenecks, program counter constraints, register file pressure, and the classic "memory wall."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Instruction-Level Parallelism (ILP) Limits:</w:t>
      </w:r>
      <w:r w:rsidDel="00000000" w:rsidR="00000000" w:rsidRPr="00000000">
        <w:rPr>
          <w:sz w:val="22"/>
          <w:szCs w:val="22"/>
          <w:rtl w:val="0"/>
        </w:rPr>
        <w:t xml:space="preserve"> The breakdown of Dennard scaling (leakage current, power wall), dark silicon phenomena, and Amdahl's Law governing serial execution bottlenecks.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Vector Extensions:</w:t>
      </w:r>
      <w:r w:rsidDel="00000000" w:rsidR="00000000" w:rsidRPr="00000000">
        <w:rPr>
          <w:sz w:val="22"/>
          <w:szCs w:val="22"/>
          <w:rtl w:val="0"/>
        </w:rPr>
        <w:t xml:space="preserve"> The architectural transition from pure scalar execution to SIMD (Single Instruction, Multiple Data) execution units, detailing instruction set extensions (MMX, SSE, AVX-512, ARM Neon).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GPGPU Revolution:</w:t>
      </w:r>
      <w:r w:rsidDel="00000000" w:rsidR="00000000" w:rsidRPr="00000000">
        <w:rPr>
          <w:sz w:val="22"/>
          <w:szCs w:val="22"/>
          <w:rtl w:val="0"/>
        </w:rPr>
        <w:t xml:space="preserve"> Evolution of fixed-function graphics hardware pipelines into fully programmable unified shader processors. The creation of NVIDIA’s G80/Tesla architecture and the introduction of the CUDA computing platform.</w:t>
      </w:r>
    </w:p>
    <w:p w:rsidR="00000000" w:rsidDel="00000000" w:rsidP="00000000" w:rsidRDefault="00000000" w:rsidRPr="00000000" w14:paraId="0000000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Chapter 2: Hardware Architectures and Execution Models (With Client-Side Extensions)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2.1 Control-Flow vs. Dataflow Paradigms</w:t>
      </w:r>
    </w:p>
    <w:p w:rsidR="00000000" w:rsidDel="00000000" w:rsidP="00000000" w:rsidRDefault="00000000" w:rsidRPr="00000000" w14:paraId="0000000B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Temporal (Von Neumann) Control-Flow:</w:t>
      </w:r>
      <w:r w:rsidDel="00000000" w:rsidR="00000000" w:rsidRPr="00000000">
        <w:rPr>
          <w:sz w:val="22"/>
          <w:szCs w:val="22"/>
          <w:rtl w:val="0"/>
        </w:rPr>
        <w:t xml:space="preserve"> Instruction-driven execution where operations are fetched, decoded, and dispatched sequentially to physical ALU resources.</w:t>
      </w:r>
    </w:p>
    <w:p w:rsidR="00000000" w:rsidDel="00000000" w:rsidP="00000000" w:rsidRDefault="00000000" w:rsidRPr="00000000" w14:paraId="0000000C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Spatial Dataflow:</w:t>
      </w:r>
      <w:r w:rsidDel="00000000" w:rsidR="00000000" w:rsidRPr="00000000">
        <w:rPr>
          <w:sz w:val="22"/>
          <w:szCs w:val="22"/>
          <w:rtl w:val="0"/>
        </w:rPr>
        <w:t xml:space="preserve"> Data-driven execution where instructions are mapped physically onto a network of computing elements, and data streams directly between elements.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2.2 Taxonomy of Parallelism &amp; Hardware Paradigms</w:t>
      </w:r>
    </w:p>
    <w:tbl>
      <w:tblPr>
        <w:tblStyle w:val="Table1"/>
        <w:tblW w:w="9360.0" w:type="dxa"/>
        <w:jc w:val="left"/>
        <w:tblBorders>
          <w:top w:color="e2e8f0" w:space="0" w:sz="6" w:val="single"/>
          <w:left w:color="e2e8f0" w:space="0" w:sz="6" w:val="single"/>
          <w:bottom w:color="e2e8f0" w:space="0" w:sz="6" w:val="single"/>
          <w:right w:color="e2e8f0" w:space="0" w:sz="6" w:val="single"/>
          <w:insideH w:color="e2e8f0" w:space="0" w:sz="6" w:val="single"/>
          <w:insideV w:color="e2e8f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Hardware Paradigm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Core Description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Primary Strengths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Primary Weaknesses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f7fafc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color w:val="1a365d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1a365d"/>
                <w:shd w:fill="auto" w:val="clear"/>
                <w:rtl w:val="0"/>
              </w:rPr>
              <w:t xml:space="preserve">Most Suitable Workloads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00" w:before="300" w:line="324.0000057220459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MIMD (Multicore CPUs)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Multiple instruction streams executing independently on multiple data streams.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Highly flexible; exceptional single-thread performance; advanced branch prediction.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Severe instruction-decoding overhead; low compute density per unit of silicon area.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Sequential processing, database querying, operating system control loops.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SIMD (Vector/GPU)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 single instruction stream broadcast across multiple data processing units.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 arithmetic throughput; dense ALU arrays; amortized instruction-fetch overhead.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Highly vulnerable to thread/branch divergence; memory coalescing overhead.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Matrix algebra, image processing, contiguous 2D grid operations, physical simulations.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Systolic Arrays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Data flows through a multi-dimensional grid of Processing Elements (PEs) using direct clock-step propagation.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Absurdly low register file pressure; minimal SRAM access energy; near-ideal compute density.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Extremely rigid layout; zero flexibility for irregular matrix sparsity or dynamic routing.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Dense GEMM (General Matrix Multiply) operations, convolutional neural layers.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b w:val="1"/>
                <w:bCs w:val="1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vertAlign w:val="baseline"/>
                <w:rtl w:val="0"/>
              </w:rPr>
              <w:t xml:space="preserve">FPGAs &amp; Reconfigurable Logic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Hardware logic gates, routing pathways, and interconnects are dynamically programmed after manufacturing.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Deterministic execution latency; custom pipelines tailored to specific layouts; high power efficiency.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Low clock speeds relative to ASICs; poor floating-point performance density; complex compiler pipelines.</w:t>
            </w:r>
          </w:p>
        </w:tc>
        <w:tc>
          <w:tcPr>
            <w:tcBorders>
              <w:top w:color="e2e8f0" w:space="0" w:sz="6" w:val="single"/>
              <w:left w:color="e2e8f0" w:space="0" w:sz="6" w:val="single"/>
              <w:bottom w:color="e2e8f0" w:space="0" w:sz="6" w:val="single"/>
              <w:right w:color="e2e8f0" w:space="0" w:sz="6" w:val="single"/>
            </w:tcBorders>
            <w:shd w:fill="auto" w:val="clear"/>
            <w:tcMar>
              <w:top w:w="150.0" w:type="dxa"/>
              <w:left w:w="150.0" w:type="dxa"/>
              <w:bottom w:w="150.0" w:type="dxa"/>
              <w:right w:w="15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50" w:before="150" w:lineRule="auto"/>
              <w:ind w:left="0" w:right="0" w:firstLine="0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Real-time edge signal processing, software-defined networking, batch-size-1 streaming inference.</w:t>
            </w:r>
          </w:p>
        </w:tc>
      </w:tr>
    </w:tbl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2.3 Memory Subsystem Taxonomy &amp; Host Orchestration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Unified Memory Architectures (UMA) vs. Discrete VRAM:</w:t>
      </w:r>
    </w:p>
    <w:p w:rsidR="00000000" w:rsidDel="00000000" w:rsidP="00000000" w:rsidRDefault="00000000" w:rsidRPr="00000000" w14:paraId="0000002A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Enterprise/Discrete Model:</w:t>
      </w:r>
      <w:r w:rsidDel="00000000" w:rsidR="00000000" w:rsidRPr="00000000">
        <w:rPr>
          <w:sz w:val="22"/>
          <w:szCs w:val="22"/>
          <w:rtl w:val="0"/>
        </w:rPr>
        <w:t xml:space="preserve"> Dedicated, high-bandwidth graphics memory (HBM3e/HBM4 or GDDR6) on package. Requires high-latency host transfers over PCIe buses, incurring severe serialization copies.</w:t>
      </w:r>
    </w:p>
    <w:p w:rsidR="00000000" w:rsidDel="00000000" w:rsidP="00000000" w:rsidRDefault="00000000" w:rsidRPr="00000000" w14:paraId="0000002B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Integrated Client SoC Model:</w:t>
      </w:r>
      <w:r w:rsidDel="00000000" w:rsidR="00000000" w:rsidRPr="00000000">
        <w:rPr>
          <w:sz w:val="22"/>
          <w:szCs w:val="22"/>
          <w:rtl w:val="0"/>
        </w:rPr>
        <w:t xml:space="preserve"> Edge NPUs, GPUs, and CPUs share a single pool of physical system memory (e.g., LPDDR5X) on the same System-on-Chip (SoC). Bypasses redundant memory copying, but memory bandwidth is capped by the narrower shared system bus.</w:t>
      </w:r>
    </w:p>
    <w:p w:rsidR="00000000" w:rsidDel="00000000" w:rsidP="00000000" w:rsidRDefault="00000000" w:rsidRPr="00000000" w14:paraId="0000002C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Cache Management Taxonomies:</w:t>
      </w:r>
      <w:r w:rsidDel="00000000" w:rsidR="00000000" w:rsidRPr="00000000">
        <w:rPr>
          <w:sz w:val="22"/>
          <w:szCs w:val="22"/>
          <w:rtl w:val="0"/>
        </w:rPr>
        <w:t xml:space="preserve"> Hardware-managed hierarchical cache architectures (coherent L1/L2/L3) vs. Direct-Managed Scratchpad Memories (software-controlled static RAM requiring developer/compiler DMA orchestration).</w:t>
      </w:r>
    </w:p>
    <w:p w:rsidR="00000000" w:rsidDel="00000000" w:rsidP="00000000" w:rsidRDefault="00000000" w:rsidRPr="00000000" w14:paraId="0000002D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Host-to-Accelerator Polling and Synchronization Overhead:</w:t>
      </w:r>
      <w:r w:rsidDel="00000000" w:rsidR="00000000" w:rsidRPr="00000000">
        <w:rPr>
          <w:sz w:val="22"/>
          <w:szCs w:val="22"/>
          <w:rtl w:val="0"/>
        </w:rPr>
        <w:t xml:space="preserve"> Dissecting the energy costs of task orchestration at the edge. How CPU remote procedure call (RPC) polling, driver-level synchronization, and sleep-latency timing mismatches cause the host CPU to consume up to 30% of total system energy during active NPU runs.</w:t>
      </w:r>
    </w:p>
    <w:p w:rsidR="00000000" w:rsidDel="00000000" w:rsidP="00000000" w:rsidRDefault="00000000" w:rsidRPr="00000000" w14:paraId="0000002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2.4 Client-Side Execution Taxonomies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Precision-Flexibility Trade-off:</w:t>
      </w:r>
      <w:r w:rsidDel="00000000" w:rsidR="00000000" w:rsidRPr="00000000">
        <w:rPr>
          <w:sz w:val="22"/>
          <w:szCs w:val="22"/>
          <w:rtl w:val="0"/>
        </w:rPr>
        <w:t xml:space="preserve"> Contrast of enterprise datatype diversity (MX formats, dynamic FP8/FP6/FP4) with spatial edge layouts strictly optimized for static low-power integer arithmetic (INT8/INT4). Issues of GPU/CPU runtime fallbacks when running non-standard activation shapes.</w:t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Heterogeneous Task Partitioning:</w:t>
      </w:r>
      <w:r w:rsidDel="00000000" w:rsidR="00000000" w:rsidRPr="00000000">
        <w:rPr>
          <w:sz w:val="22"/>
          <w:szCs w:val="22"/>
          <w:rtl w:val="0"/>
        </w:rPr>
        <w:t xml:space="preserve"> Execution engine division of labor on modern SoCs: CPU optimization for local non-vector branch math, GPU scaling for large-batch operations, and edge NPU scaling for memory-bound, low-batch matrix-vector operations.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3: Analytical Performance Modeling</w:t>
      </w:r>
    </w:p>
    <w:p w:rsidR="00000000" w:rsidDel="00000000" w:rsidP="00000000" w:rsidRDefault="00000000" w:rsidRPr="00000000" w14:paraId="00000032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Roofline Model:</w:t>
      </w:r>
      <w:r w:rsidDel="00000000" w:rsidR="00000000" w:rsidRPr="00000000">
        <w:rPr>
          <w:sz w:val="22"/>
          <w:szCs w:val="22"/>
          <w:rtl w:val="0"/>
        </w:rPr>
        <w:t xml:space="preserve"> Visualizing compute-bound versus memory-bandwidth-bound execution phases.</w:t>
      </w:r>
    </w:p>
    <w:p w:rsidR="00000000" w:rsidDel="00000000" w:rsidP="00000000" w:rsidRDefault="00000000" w:rsidRPr="00000000" w14:paraId="00000033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Mathematical Formulations:</w:t>
      </w:r>
    </w:p>
    <w:p w:rsidR="00000000" w:rsidDel="00000000" w:rsidP="00000000" w:rsidRDefault="00000000" w:rsidRPr="00000000" w14:paraId="00000034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left="600" w:right="0" w:hanging="360"/>
      </w:pPr>
      <w:r w:rsidDel="00000000" w:rsidR="00000000" w:rsidRPr="00000000">
        <w:rPr>
          <w:sz w:val="22"/>
          <w:szCs w:val="22"/>
          <w:rtl w:val="0"/>
        </w:rPr>
        <w:t xml:space="preserve">Operational (Arithmetic) Intensity: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shd w:fill="f7fafc" w:val="clear"/>
          <w:rtl w:val="0"/>
        </w:rPr>
        <w:t xml:space="preserve">I = FLOPs / Bytes transferred</w:t>
      </w:r>
    </w:p>
    <w:p w:rsidR="00000000" w:rsidDel="00000000" w:rsidP="00000000" w:rsidRDefault="00000000" w:rsidRPr="00000000" w14:paraId="00000035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left="600" w:right="0" w:hanging="360"/>
      </w:pPr>
      <w:r w:rsidDel="00000000" w:rsidR="00000000" w:rsidRPr="00000000">
        <w:rPr>
          <w:sz w:val="22"/>
          <w:szCs w:val="22"/>
          <w:rtl w:val="0"/>
        </w:rPr>
        <w:t xml:space="preserve">Attainable Performance: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shd w:fill="f7fafc" w:val="clear"/>
          <w:rtl w:val="0"/>
        </w:rPr>
        <w:t xml:space="preserve">P = min(P_peak, I * b)</w:t>
      </w:r>
      <w:r w:rsidDel="00000000" w:rsidR="00000000" w:rsidRPr="00000000">
        <w:rPr>
          <w:sz w:val="22"/>
          <w:szCs w:val="22"/>
          <w:rtl w:val="0"/>
        </w:rPr>
        <w:t xml:space="preserve">where 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b</w:t>
      </w:r>
      <w:r w:rsidDel="00000000" w:rsidR="00000000" w:rsidRPr="00000000">
        <w:rPr>
          <w:sz w:val="22"/>
          <w:szCs w:val="22"/>
          <w:rtl w:val="0"/>
        </w:rPr>
        <w:t xml:space="preserve"> represents off-chip memory bandwidth.</w:t>
      </w:r>
    </w:p>
    <w:p w:rsidR="00000000" w:rsidDel="00000000" w:rsidP="00000000" w:rsidRDefault="00000000" w:rsidRPr="00000000" w14:paraId="00000036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Quantization and Data-Type Scaling (Edge Impact):</w:t>
      </w:r>
      <w:r w:rsidDel="00000000" w:rsidR="00000000" w:rsidRPr="00000000">
        <w:rPr>
          <w:sz w:val="22"/>
          <w:szCs w:val="22"/>
          <w:rtl w:val="0"/>
        </w:rPr>
        <w:t xml:space="preserve"> Mathematical modeling of how moving from high-precision formats to FP16, FP8, INT4, INT3, or activation-only quantization shifts a workload's arithmetic intensity to the left on the Roofline curve, lowering bandwidth demand by 4x and shifting bottlenecks from memory-bound to compute-bound to fit tight edge RAM constraints.</w:t>
      </w:r>
    </w:p>
    <w:p w:rsidR="00000000" w:rsidDel="00000000" w:rsidP="00000000" w:rsidRDefault="00000000" w:rsidRPr="00000000" w14:paraId="00000037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Workload Execution Phase Divergence:</w:t>
      </w:r>
      <w:r w:rsidDel="00000000" w:rsidR="00000000" w:rsidRPr="00000000">
        <w:rPr>
          <w:sz w:val="22"/>
          <w:szCs w:val="22"/>
          <w:rtl w:val="0"/>
        </w:rPr>
        <w:t xml:space="preserve"> Modeling prefill/prompt phase (compute-bound, mapping to matrix engines) vs. autoregressive decode phase (extremely memory-bandwidth-bound, dependent on rapid KV-cache DRAM-to-SRAM retrieval).</w:t>
      </w:r>
    </w:p>
    <w:p w:rsidR="00000000" w:rsidDel="00000000" w:rsidP="00000000" w:rsidRDefault="00000000" w:rsidRPr="00000000" w14:paraId="00000038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"Exploitable Configuration Slack" Phenomenon:</w:t>
      </w:r>
      <w:r w:rsidDel="00000000" w:rsidR="00000000" w:rsidRPr="00000000">
        <w:rPr>
          <w:sz w:val="22"/>
          <w:szCs w:val="22"/>
          <w:rtl w:val="0"/>
        </w:rPr>
        <w:t xml:space="preserve"> Theoretical modeling of edge quality of experience (QoE) limits. Once token generation exceeds human reading speed (10–15 tokens/sec), throughput gains offer diminishing returns. Under this limit, Dynamic Voltage and Frequency Scaling (DVFS) can be used to throttle NPU/DDR clock speeds, saving up to 65% energy on phones and 12% on laptops while preventing thermal throttling.</w:t>
      </w:r>
    </w:p>
    <w:p w:rsidR="00000000" w:rsidDel="00000000" w:rsidP="00000000" w:rsidRDefault="00000000" w:rsidRPr="00000000" w14:paraId="00000039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NPU Compiler Bucketing and Latency Non-linearity:</w:t>
      </w:r>
      <w:r w:rsidDel="00000000" w:rsidR="00000000" w:rsidRPr="00000000">
        <w:rPr>
          <w:sz w:val="22"/>
          <w:szCs w:val="22"/>
          <w:rtl w:val="0"/>
        </w:rPr>
        <w:t xml:space="preserve"> Mobile NPU reliance on static compilers that use pre-determined execution context "buckets" (e.g., 128, 256, 512, 1024 tokens) to handle input lengths. Analysis of step-function latency spikes when model context footprints cross static bucket thresholds at runtime.</w:t>
      </w:r>
    </w:p>
    <w:p w:rsidR="00000000" w:rsidDel="00000000" w:rsidP="00000000" w:rsidRDefault="00000000" w:rsidRPr="00000000" w14:paraId="0000003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Tokens-per-Joule (Tokens/J) and SWaP-C Framework: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sz w:val="20"/>
          <w:szCs w:val="20"/>
          <w:shd w:fill="f7fafc" w:val="clear"/>
          <w:rtl w:val="0"/>
        </w:rPr>
        <w:t xml:space="preserve">Energy Efficiency = Total Tokens Generated / System Energy Consumed [Tokens/Joules]</w:t>
      </w:r>
      <w:r w:rsidDel="00000000" w:rsidR="00000000" w:rsidRPr="00000000">
        <w:rPr>
          <w:sz w:val="22"/>
          <w:szCs w:val="22"/>
          <w:rtl w:val="0"/>
        </w:rPr>
        <w:t xml:space="preserve">Establishing SWaP-C (Size, Weight, Power, and Cost) as the ultimate evaluation matrix for edge platforms.</w:t>
      </w:r>
    </w:p>
    <w:p w:rsidR="00000000" w:rsidDel="00000000" w:rsidP="00000000" w:rsidRDefault="00000000" w:rsidRPr="00000000" w14:paraId="0000003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Chapter 4: Mapping AI Workloads to Silicon (Workloads First)</w:t>
      </w:r>
    </w:p>
    <w:p w:rsidR="00000000" w:rsidDel="00000000" w:rsidP="00000000" w:rsidRDefault="00000000" w:rsidRPr="00000000" w14:paraId="0000003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4.1 Modern Deep Learning Bottlenecks (Enterprise)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Prefill vs. Decode Divergence:</w:t>
      </w:r>
      <w:r w:rsidDel="00000000" w:rsidR="00000000" w:rsidRPr="00000000">
        <w:rPr>
          <w:sz w:val="22"/>
          <w:szCs w:val="22"/>
          <w:rtl w:val="0"/>
        </w:rPr>
        <w:t xml:space="preserve"> Mapping highly compute-bound prompt evaluation versus highly memory-bandwidth-bound autoregressive decoding to hardware.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Sparsity &amp; MoE Failure Modes on GPUs:</w:t>
      </w:r>
      <w:r w:rsidDel="00000000" w:rsidR="00000000" w:rsidRPr="00000000">
        <w:rPr>
          <w:sz w:val="22"/>
          <w:szCs w:val="22"/>
          <w:rtl w:val="0"/>
        </w:rPr>
        <w:t xml:space="preserve"> How dynamic, unstructured sparsity (e.g., Mixture of Experts) causes severe thread divergence, uncoalesced memory reads, and inter-chip "all-to-all" network congestion on traditional dense SIMD GPUs.</w:t>
      </w:r>
    </w:p>
    <w:p w:rsidR="00000000" w:rsidDel="00000000" w:rsidP="00000000" w:rsidRDefault="00000000" w:rsidRPr="00000000" w14:paraId="0000003F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KV-Cache Footprint:</w:t>
      </w:r>
      <w:r w:rsidDel="00000000" w:rsidR="00000000" w:rsidRPr="00000000">
        <w:rPr>
          <w:sz w:val="22"/>
          <w:szCs w:val="22"/>
          <w:rtl w:val="0"/>
        </w:rPr>
        <w:t xml:space="preserve"> Quadratic capacity growth of activation memories in long-context model runs, starving processing units.</w:t>
      </w:r>
    </w:p>
    <w:p w:rsidR="00000000" w:rsidDel="00000000" w:rsidP="00000000" w:rsidRDefault="00000000" w:rsidRPr="00000000" w14:paraId="00000040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Transformer Execution Optimization:</w:t>
      </w:r>
      <w:r w:rsidDel="00000000" w:rsidR="00000000" w:rsidRPr="00000000">
        <w:rPr>
          <w:sz w:val="22"/>
          <w:szCs w:val="22"/>
          <w:rtl w:val="0"/>
        </w:rPr>
        <w:t xml:space="preserve"> Multi-Head Attention (MHA) vs. Multi-Query Attention (MQA) vs. FlashAttention spatial optimization techniques.</w:t>
      </w:r>
    </w:p>
    <w:p w:rsidR="00000000" w:rsidDel="00000000" w:rsidP="00000000" w:rsidRDefault="00000000" w:rsidRPr="00000000" w14:paraId="00000041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Parallelism Topologies:</w:t>
      </w:r>
      <w:r w:rsidDel="00000000" w:rsidR="00000000" w:rsidRPr="00000000">
        <w:rPr>
          <w:sz w:val="22"/>
          <w:szCs w:val="22"/>
          <w:rtl w:val="0"/>
        </w:rPr>
        <w:t xml:space="preserve"> Scaling models across multiple chips using Data Parallelism (DP), Tensor Parallelism (TP), Pipeline Parallelism (PP), and Fully Sharded Data Parallel (FSDP).</w:t>
      </w:r>
    </w:p>
    <w:p w:rsidR="00000000" w:rsidDel="00000000" w:rsidP="00000000" w:rsidRDefault="00000000" w:rsidRPr="00000000" w14:paraId="00000042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Sparsity Exploitation:</w:t>
      </w:r>
      <w:r w:rsidDel="00000000" w:rsidR="00000000" w:rsidRPr="00000000">
        <w:rPr>
          <w:sz w:val="22"/>
          <w:szCs w:val="22"/>
          <w:rtl w:val="0"/>
        </w:rPr>
        <w:t xml:space="preserve"> Dissecting structured 2:4 sparsity in modern Tensor Cores and dynamic execution gating mechanisms.</w:t>
      </w:r>
    </w:p>
    <w:p w:rsidR="00000000" w:rsidDel="00000000" w:rsidP="00000000" w:rsidRDefault="00000000" w:rsidRPr="00000000" w14:paraId="0000004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Client-Side Workloads &amp; Low-Power Constraints</w:t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Battery &amp; Thermal Envelope:</w:t>
      </w:r>
      <w:r w:rsidDel="00000000" w:rsidR="00000000" w:rsidRPr="00000000">
        <w:rPr>
          <w:sz w:val="22"/>
          <w:szCs w:val="22"/>
          <w:rtl w:val="0"/>
        </w:rPr>
        <w:t xml:space="preserve"> Running inference under tight power limits (e.g., 35W laptop vs. 5W smartphone) compared to a data center node.</w:t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Small Language Models (SLMs) on the Edge:</w:t>
      </w:r>
      <w:r w:rsidDel="00000000" w:rsidR="00000000" w:rsidRPr="00000000">
        <w:rPr>
          <w:sz w:val="22"/>
          <w:szCs w:val="22"/>
          <w:rtl w:val="0"/>
        </w:rPr>
        <w:t xml:space="preserve"> Extreme quantization (INT4/INT3/activation-only quantization) to fit models (Phi-4, Llama-3-8B, Gemma-2) into limited edge RAM.</w:t>
      </w:r>
    </w:p>
    <w:p w:rsidR="00000000" w:rsidDel="00000000" w:rsidP="00000000" w:rsidRDefault="00000000" w:rsidRPr="00000000" w14:paraId="00000046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Ambient Background Inference:</w:t>
      </w:r>
      <w:r w:rsidDel="00000000" w:rsidR="00000000" w:rsidRPr="00000000">
        <w:rPr>
          <w:sz w:val="22"/>
          <w:szCs w:val="22"/>
          <w:rtl w:val="0"/>
        </w:rPr>
        <w:t xml:space="preserve"> Low-power partitioning—routing background wake-word detection, eye-tracking, or real-time transcription to dedicated, single-digit milliwatt NPUs while keeping the GPU/CPU completely asleep.</w:t>
      </w:r>
    </w:p>
    <w:p w:rsidR="00000000" w:rsidDel="00000000" w:rsidP="00000000" w:rsidRDefault="00000000" w:rsidRPr="00000000" w14:paraId="0000004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4.3 Physical World AI (Embodied Intelligence &amp; Robotics)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Real-time State-Space Modeling (SSMs):</w:t>
      </w:r>
      <w:r w:rsidDel="00000000" w:rsidR="00000000" w:rsidRPr="00000000">
        <w:rPr>
          <w:sz w:val="22"/>
          <w:szCs w:val="22"/>
          <w:rtl w:val="0"/>
        </w:rPr>
        <w:t xml:space="preserve"> Execution profiles of low-latency, batch-size-1 state estimation and tracking models (e.g., Mamba configurations).</w:t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Heterogeneous Multimodal Sensor Fusion:</w:t>
      </w:r>
      <w:r w:rsidDel="00000000" w:rsidR="00000000" w:rsidRPr="00000000">
        <w:rPr>
          <w:sz w:val="22"/>
          <w:szCs w:val="22"/>
          <w:rtl w:val="0"/>
        </w:rPr>
        <w:t xml:space="preserve"> Managing synchronous, high-velocity incoming streams (LiDAR, IMU, stereo cameras) on shared, non-copying memory planes.</w:t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Non-linear Trajectory &amp; Physics Optimization:</w:t>
      </w:r>
      <w:r w:rsidDel="00000000" w:rsidR="00000000" w:rsidRPr="00000000">
        <w:rPr>
          <w:sz w:val="22"/>
          <w:szCs w:val="22"/>
          <w:rtl w:val="0"/>
        </w:rPr>
        <w:t xml:space="preserve"> The strict computational need for double-precision math (FP64) and graph-based planning, which are highly inefficient on low-precision AI matrix hardware.</w:t>
      </w:r>
    </w:p>
    <w:p w:rsidR="00000000" w:rsidDel="00000000" w:rsidP="00000000" w:rsidRDefault="00000000" w:rsidRPr="00000000" w14:paraId="0000004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Chapter 5: Enterprise Hardware and the Startup Landscape</w:t>
      </w:r>
    </w:p>
    <w:p w:rsidR="00000000" w:rsidDel="00000000" w:rsidP="00000000" w:rsidRDefault="00000000" w:rsidRPr="00000000" w14:paraId="0000004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5.1 The Hyperscale Powerhouses</w:t>
      </w:r>
    </w:p>
    <w:p w:rsidR="00000000" w:rsidDel="00000000" w:rsidP="00000000" w:rsidRDefault="00000000" w:rsidRPr="00000000" w14:paraId="0000004D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NVIDIA:</w:t>
      </w:r>
      <w:r w:rsidDel="00000000" w:rsidR="00000000" w:rsidRPr="00000000">
        <w:rPr>
          <w:sz w:val="22"/>
          <w:szCs w:val="22"/>
          <w:rtl w:val="0"/>
        </w:rPr>
        <w:t xml:space="preserve"> Blackwell (B200, GB200 NVL72) and the upcoming Rubin architecture. Microarchitectural analysis of second-generation Transformer Engines, decompression engines, and NVLink 5 scale-up topologies.</w:t>
      </w:r>
    </w:p>
    <w:p w:rsidR="00000000" w:rsidDel="00000000" w:rsidP="00000000" w:rsidRDefault="00000000" w:rsidRPr="00000000" w14:paraId="0000004E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AMD:</w:t>
      </w:r>
      <w:r w:rsidDel="00000000" w:rsidR="00000000" w:rsidRPr="00000000">
        <w:rPr>
          <w:sz w:val="22"/>
          <w:szCs w:val="22"/>
          <w:rtl w:val="0"/>
        </w:rPr>
        <w:t xml:space="preserve"> CDNA3/4 Instinct lines (MI300X, MI325X, MI350). Microarchitectural focus on giant consolidated memory pools (HBM3e/HBM4) and chiplet-based physical layouts.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Google:</w:t>
      </w:r>
      <w:r w:rsidDel="00000000" w:rsidR="00000000" w:rsidRPr="00000000">
        <w:rPr>
          <w:sz w:val="22"/>
          <w:szCs w:val="22"/>
          <w:rtl w:val="0"/>
        </w:rPr>
        <w:t xml:space="preserve"> TPU v5p and TPU v6 (Trillium). Dissecting custom systolic array structures and scale-out architecture using optical circuit switching (OCS).</w:t>
      </w:r>
    </w:p>
    <w:p w:rsidR="00000000" w:rsidDel="00000000" w:rsidP="00000000" w:rsidRDefault="00000000" w:rsidRPr="00000000" w14:paraId="00000050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Amazon (AWS):</w:t>
      </w:r>
      <w:r w:rsidDel="00000000" w:rsidR="00000000" w:rsidRPr="00000000">
        <w:rPr>
          <w:sz w:val="22"/>
          <w:szCs w:val="22"/>
          <w:rtl w:val="0"/>
        </w:rPr>
        <w:t xml:space="preserve"> Trainium 2/3 and Inferentia 2 architectures. Custom silicon built specifically for high-efficiency, scale-out training and inference in EC2 clusters.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Meta:</w:t>
      </w:r>
      <w:r w:rsidDel="00000000" w:rsidR="00000000" w:rsidRPr="00000000">
        <w:rPr>
          <w:sz w:val="22"/>
          <w:szCs w:val="22"/>
          <w:rtl w:val="0"/>
        </w:rPr>
        <w:t xml:space="preserve"> MTIA (Meta Training and Inference Accelerator). Low-power custom ASICs built specifically for recommendation model inference and ranking pipelines.</w:t>
      </w:r>
    </w:p>
    <w:p w:rsidR="00000000" w:rsidDel="00000000" w:rsidP="00000000" w:rsidRDefault="00000000" w:rsidRPr="00000000" w14:paraId="00000052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Microsoft Custom Silicon:</w:t>
      </w:r>
      <w:r w:rsidDel="00000000" w:rsidR="00000000" w:rsidRPr="00000000">
        <w:rPr>
          <w:sz w:val="22"/>
          <w:szCs w:val="22"/>
          <w:rtl w:val="0"/>
        </w:rPr>
        <w:t xml:space="preserve"> Maia 100 &amp; Maia 200 (TSMC 3nm). Tile-based designs, Tile Tensor Units (TTU) for low-precision math, Tile Vector Processors (TVP), and software-managed hierarchical SRAM structures (CSRAM/TSRAM) with custom ATL interconnects.</w:t>
      </w:r>
    </w:p>
    <w:p w:rsidR="00000000" w:rsidDel="00000000" w:rsidP="00000000" w:rsidRDefault="00000000" w:rsidRPr="00000000" w14:paraId="00000053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OpenAI Custom Silicon:</w:t>
      </w:r>
      <w:r w:rsidDel="00000000" w:rsidR="00000000" w:rsidRPr="00000000">
        <w:rPr>
          <w:sz w:val="22"/>
          <w:szCs w:val="22"/>
          <w:rtl w:val="0"/>
        </w:rPr>
        <w:t xml:space="preserve"> "Jalapeño" ASIC (Co-Developed with Broadcom). High-throughput token decoding, tailored memory pathways, and stripped-out training scheduling blocks.</w:t>
      </w:r>
    </w:p>
    <w:p w:rsidR="00000000" w:rsidDel="00000000" w:rsidP="00000000" w:rsidRDefault="00000000" w:rsidRPr="00000000" w14:paraId="0000005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5.2 The Startup Challengers</w:t>
      </w:r>
    </w:p>
    <w:p w:rsidR="00000000" w:rsidDel="00000000" w:rsidP="00000000" w:rsidRDefault="00000000" w:rsidRPr="00000000" w14:paraId="00000055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Cerebras:</w:t>
      </w:r>
      <w:r w:rsidDel="00000000" w:rsidR="00000000" w:rsidRPr="00000000">
        <w:rPr>
          <w:sz w:val="22"/>
          <w:szCs w:val="22"/>
          <w:rtl w:val="0"/>
        </w:rPr>
        <w:t xml:space="preserve"> Wafer-Scale Engine 3 (WSE-3). Analysis of a single monolithic 46,225 mm² wafer, featuring 4 trillion transistors, 900,000 AI-optimized cores, and 44 GB of physical on-chip SRAM.</w:t>
      </w:r>
    </w:p>
    <w:p w:rsidR="00000000" w:rsidDel="00000000" w:rsidP="00000000" w:rsidRDefault="00000000" w:rsidRPr="00000000" w14:paraId="00000056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Groq:</w:t>
      </w:r>
      <w:r w:rsidDel="00000000" w:rsidR="00000000" w:rsidRPr="00000000">
        <w:rPr>
          <w:sz w:val="22"/>
          <w:szCs w:val="22"/>
          <w:rtl w:val="0"/>
        </w:rPr>
        <w:t xml:space="preserve"> Language Processing Unit (LPU). An entirely static, compiler-scheduled, SRAM-only design (500 MB per chip) designed to provide deterministic, ultra-low-latency real-time inference.</w:t>
      </w:r>
    </w:p>
    <w:p w:rsidR="00000000" w:rsidDel="00000000" w:rsidP="00000000" w:rsidRDefault="00000000" w:rsidRPr="00000000" w14:paraId="00000057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SambaNova:</w:t>
      </w:r>
      <w:r w:rsidDel="00000000" w:rsidR="00000000" w:rsidRPr="00000000">
        <w:rPr>
          <w:sz w:val="22"/>
          <w:szCs w:val="22"/>
          <w:rtl w:val="0"/>
        </w:rPr>
        <w:t xml:space="preserve"> Reconfigurable Dataflow Unit (RDU). Analyzing spatial architectures, dynamic routing, and multi-tile layouts optimized for massive-context execution.</w:t>
      </w:r>
    </w:p>
    <w:p w:rsidR="00000000" w:rsidDel="00000000" w:rsidP="00000000" w:rsidRDefault="00000000" w:rsidRPr="00000000" w14:paraId="00000058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Tenstorrent:</w:t>
      </w:r>
      <w:r w:rsidDel="00000000" w:rsidR="00000000" w:rsidRPr="00000000">
        <w:rPr>
          <w:sz w:val="22"/>
          <w:szCs w:val="22"/>
          <w:rtl w:val="0"/>
        </w:rPr>
        <w:t xml:space="preserve"> Wormhole and Galaxy architectures. Open-source RISC-V compute cores paired with a packet-switched Network-on-Chip (NoC) to democratize custom AI execution fabrics.</w:t>
      </w:r>
    </w:p>
    <w:p w:rsidR="00000000" w:rsidDel="00000000" w:rsidP="00000000" w:rsidRDefault="00000000" w:rsidRPr="00000000" w14:paraId="0000005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Chapter 6: Client-Side AI Accelerators (Edge, PC, and Mobile)</w:t>
      </w:r>
    </w:p>
    <w:p w:rsidR="00000000" w:rsidDel="00000000" w:rsidP="00000000" w:rsidRDefault="00000000" w:rsidRPr="00000000" w14:paraId="0000005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6.1 The AI PC Platform</w:t>
      </w:r>
    </w:p>
    <w:p w:rsidR="00000000" w:rsidDel="00000000" w:rsidP="00000000" w:rsidRDefault="00000000" w:rsidRPr="00000000" w14:paraId="0000005B">
      <w:pPr>
        <w:numPr>
          <w:ilvl w:val="0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Rule="auto"/>
        <w:ind w:right="0" w:hanging="60"/>
      </w:pPr>
      <w:r w:rsidDel="00000000" w:rsidR="00000000" w:rsidRPr="00000000">
        <w:rPr>
          <w:sz w:val="22"/>
          <w:szCs w:val="22"/>
          <w:rtl w:val="0"/>
        </w:rPr>
        <w:t xml:space="preserve">Microsoft's Copilot+ specification requiring a minimum of 40 NPU TOPS.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6.2 Silicon Architectures at the Client Edge</w:t>
      </w:r>
    </w:p>
    <w:p w:rsidR="00000000" w:rsidDel="00000000" w:rsidP="00000000" w:rsidRDefault="00000000" w:rsidRPr="00000000" w14:paraId="0000005D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Qualcomm:</w:t>
      </w:r>
      <w:r w:rsidDel="00000000" w:rsidR="00000000" w:rsidRPr="00000000">
        <w:rPr>
          <w:sz w:val="22"/>
          <w:szCs w:val="22"/>
          <w:rtl w:val="0"/>
        </w:rPr>
        <w:t xml:space="preserve"> Snapdragon X Elite and X2 Elite (Hexagon NPU delivering up to 80-85 NPU TOPS, specialized in low-power integer arithmetic).</w:t>
      </w:r>
    </w:p>
    <w:p w:rsidR="00000000" w:rsidDel="00000000" w:rsidP="00000000" w:rsidRDefault="00000000" w:rsidRPr="00000000" w14:paraId="0000005E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Intel:</w:t>
      </w:r>
      <w:r w:rsidDel="00000000" w:rsidR="00000000" w:rsidRPr="00000000">
        <w:rPr>
          <w:sz w:val="22"/>
          <w:szCs w:val="22"/>
          <w:rtl w:val="0"/>
        </w:rPr>
        <w:t xml:space="preserve"> Lunar Lake (NPU4) and Panther Lake (18A process node, NPU5 hitting up to 50 TOPS).</w:t>
      </w:r>
    </w:p>
    <w:p w:rsidR="00000000" w:rsidDel="00000000" w:rsidP="00000000" w:rsidRDefault="00000000" w:rsidRPr="00000000" w14:paraId="0000005F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AMD Client:</w:t>
      </w:r>
      <w:r w:rsidDel="00000000" w:rsidR="00000000" w:rsidRPr="00000000">
        <w:rPr>
          <w:sz w:val="22"/>
          <w:szCs w:val="22"/>
          <w:rtl w:val="0"/>
        </w:rPr>
        <w:t xml:space="preserve"> Ryzen AI 300/400 (XDNA 2 architecture, delivering up to 60 TOPS using spatial dataflow tiles).</w:t>
      </w:r>
    </w:p>
    <w:p w:rsidR="00000000" w:rsidDel="00000000" w:rsidP="00000000" w:rsidRDefault="00000000" w:rsidRPr="00000000" w14:paraId="00000060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Apple:</w:t>
      </w:r>
      <w:r w:rsidDel="00000000" w:rsidR="00000000" w:rsidRPr="00000000">
        <w:rPr>
          <w:sz w:val="22"/>
          <w:szCs w:val="22"/>
          <w:rtl w:val="0"/>
        </w:rPr>
        <w:t xml:space="preserve"> Apple Silicon (A18/A19/M4/M5). Neural Engine evolution vs. the unified memory architecture (UMA) enabling desktop-class LLMs to fit within integrated memory pools.</w:t>
      </w:r>
    </w:p>
    <w:p w:rsidR="00000000" w:rsidDel="00000000" w:rsidP="00000000" w:rsidRDefault="00000000" w:rsidRPr="00000000" w14:paraId="00000061">
      <w:pPr>
        <w:numPr>
          <w:ilvl w:val="0"/>
          <w:numId w:val="2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Discrete Client Hardware:</w:t>
      </w:r>
      <w:r w:rsidDel="00000000" w:rsidR="00000000" w:rsidRPr="00000000">
        <w:rPr>
          <w:sz w:val="22"/>
          <w:szCs w:val="22"/>
          <w:rtl w:val="0"/>
        </w:rPr>
        <w:t xml:space="preserve"> The critical role of local NVIDIA RTX Tensor Cores (Ada Lovelace, Blackwell desktop variants) for local model training, high-precision scientific computing, and professional creative workflows.</w:t>
      </w:r>
    </w:p>
    <w:p w:rsidR="00000000" w:rsidDel="00000000" w:rsidP="00000000" w:rsidRDefault="00000000" w:rsidRPr="00000000" w14:paraId="0000006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6.3 Worldwide AI Hardware Startup Map (2026 Landscape)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0" w:lineRule="auto"/>
        <w:ind w:left="0" w:right="0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comprehensive landscape of startups competing in the compute accelerator space outside of traditional US giants: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Axelera AI (Netherlands):</w:t>
      </w:r>
      <w:r w:rsidDel="00000000" w:rsidR="00000000" w:rsidRPr="00000000">
        <w:rPr>
          <w:sz w:val="22"/>
          <w:szCs w:val="22"/>
          <w:rtl w:val="0"/>
        </w:rPr>
        <w:t xml:space="preserve"> Focus on high-performance Digital In-Memory Computing (D-IMC) using RISC-V edge execution.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Semron (Germany):</w:t>
      </w:r>
      <w:r w:rsidDel="00000000" w:rsidR="00000000" w:rsidRPr="00000000">
        <w:rPr>
          <w:sz w:val="22"/>
          <w:szCs w:val="22"/>
          <w:rtl w:val="0"/>
        </w:rPr>
        <w:t xml:space="preserve"> Pioneering "CapRAM" technology, utilizing 3D-stacked memcapacitors to store weights via electric fields.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SpiNNcloud / SpiNNaker2 (Germany/UK):</w:t>
      </w:r>
      <w:r w:rsidDel="00000000" w:rsidR="00000000" w:rsidRPr="00000000">
        <w:rPr>
          <w:sz w:val="22"/>
          <w:szCs w:val="22"/>
          <w:rtl w:val="0"/>
        </w:rPr>
        <w:t xml:space="preserve"> Asynchronous, event-driven neuromorphic cloud infrastructure using packet-switching.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Cortical.io (Austria):</w:t>
      </w:r>
      <w:r w:rsidDel="00000000" w:rsidR="00000000" w:rsidRPr="00000000">
        <w:rPr>
          <w:sz w:val="22"/>
          <w:szCs w:val="22"/>
          <w:rtl w:val="0"/>
        </w:rPr>
        <w:t xml:space="preserve"> "Semantic folding" technology utilizing FPGAs to accelerate NLP workflows.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Cambricon Technologies (China):</w:t>
      </w:r>
      <w:r w:rsidDel="00000000" w:rsidR="00000000" w:rsidRPr="00000000">
        <w:rPr>
          <w:sz w:val="22"/>
          <w:szCs w:val="22"/>
          <w:rtl w:val="0"/>
        </w:rPr>
        <w:t xml:space="preserve"> High-end ASICs highly integrated with domestic generative architectures.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Moore Threads (China):</w:t>
      </w:r>
      <w:r w:rsidDel="00000000" w:rsidR="00000000" w:rsidRPr="00000000">
        <w:rPr>
          <w:sz w:val="22"/>
          <w:szCs w:val="22"/>
          <w:rtl w:val="0"/>
        </w:rPr>
        <w:t xml:space="preserve"> Domestic general-purpose GPUs utilizing "Huagang" architecture for massive GPGPU training clusters.</w:t>
      </w:r>
    </w:p>
    <w:p w:rsidR="00000000" w:rsidDel="00000000" w:rsidP="00000000" w:rsidRDefault="00000000" w:rsidRPr="00000000" w14:paraId="0000006A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Biren Technology (China):</w:t>
      </w:r>
      <w:r w:rsidDel="00000000" w:rsidR="00000000" w:rsidRPr="00000000">
        <w:rPr>
          <w:sz w:val="22"/>
          <w:szCs w:val="22"/>
          <w:rtl w:val="0"/>
        </w:rPr>
        <w:t xml:space="preserve"> Developers of the BR series high-end general-purpose GPGPUs.</w:t>
      </w:r>
    </w:p>
    <w:p w:rsidR="00000000" w:rsidDel="00000000" w:rsidP="00000000" w:rsidRDefault="00000000" w:rsidRPr="00000000" w14:paraId="0000006B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Muxi Technology (China):</w:t>
      </w:r>
      <w:r w:rsidDel="00000000" w:rsidR="00000000" w:rsidRPr="00000000">
        <w:rPr>
          <w:sz w:val="22"/>
          <w:szCs w:val="22"/>
          <w:rtl w:val="0"/>
        </w:rPr>
        <w:t xml:space="preserve"> Training cluster configurations focused on chaining tens of thousands of local GPUs.</w:t>
      </w:r>
    </w:p>
    <w:p w:rsidR="00000000" w:rsidDel="00000000" w:rsidP="00000000" w:rsidRDefault="00000000" w:rsidRPr="00000000" w14:paraId="0000006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Tsingmicro (China):</w:t>
      </w:r>
      <w:r w:rsidDel="00000000" w:rsidR="00000000" w:rsidRPr="00000000">
        <w:rPr>
          <w:sz w:val="22"/>
          <w:szCs w:val="22"/>
          <w:rtl w:val="0"/>
        </w:rPr>
        <w:t xml:space="preserve"> Reconfigurable data-flow computing architectures.</w:t>
      </w:r>
    </w:p>
    <w:p w:rsidR="00000000" w:rsidDel="00000000" w:rsidP="00000000" w:rsidRDefault="00000000" w:rsidRPr="00000000" w14:paraId="0000006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Preferred Networks / PFN (Japan):</w:t>
      </w:r>
      <w:r w:rsidDel="00000000" w:rsidR="00000000" w:rsidRPr="00000000">
        <w:rPr>
          <w:sz w:val="22"/>
          <w:szCs w:val="22"/>
          <w:rtl w:val="0"/>
        </w:rPr>
        <w:t xml:space="preserve"> Custom MN-Core series accelerators optimized for ultra-high-density matrix math.</w:t>
      </w:r>
    </w:p>
    <w:p w:rsidR="00000000" w:rsidDel="00000000" w:rsidP="00000000" w:rsidRDefault="00000000" w:rsidRPr="00000000" w14:paraId="0000006E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Sakana AI (Japan):</w:t>
      </w:r>
      <w:r w:rsidDel="00000000" w:rsidR="00000000" w:rsidRPr="00000000">
        <w:rPr>
          <w:sz w:val="22"/>
          <w:szCs w:val="22"/>
          <w:rtl w:val="0"/>
        </w:rPr>
        <w:t xml:space="preserve"> Specialized model synthesis engines driving demand for alternative domestic hardware.</w:t>
      </w:r>
    </w:p>
    <w:p w:rsidR="00000000" w:rsidDel="00000000" w:rsidP="00000000" w:rsidRDefault="00000000" w:rsidRPr="00000000" w14:paraId="0000006F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Rebellions (South Korea):</w:t>
      </w:r>
      <w:r w:rsidDel="00000000" w:rsidR="00000000" w:rsidRPr="00000000">
        <w:rPr>
          <w:sz w:val="22"/>
          <w:szCs w:val="22"/>
          <w:rtl w:val="0"/>
        </w:rPr>
        <w:t xml:space="preserve"> ASICs optimized for real-time financial trading, computer vision, and low-power LLM inference.</w:t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FuriosaAI (South Korea):</w:t>
      </w:r>
      <w:r w:rsidDel="00000000" w:rsidR="00000000" w:rsidRPr="00000000">
        <w:rPr>
          <w:sz w:val="22"/>
          <w:szCs w:val="22"/>
          <w:rtl w:val="0"/>
        </w:rPr>
        <w:t xml:space="preserve"> Data-center-scale inference architectures optimized for Vision Transformers and LLMs.</w:t>
      </w:r>
    </w:p>
    <w:p w:rsidR="00000000" w:rsidDel="00000000" w:rsidP="00000000" w:rsidRDefault="00000000" w:rsidRPr="00000000" w14:paraId="0000007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6.4 The Top 5 Global Contenders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Preferred Networks (Japan):</w:t>
      </w:r>
      <w:r w:rsidDel="00000000" w:rsidR="00000000" w:rsidRPr="00000000">
        <w:rPr>
          <w:sz w:val="22"/>
          <w:szCs w:val="22"/>
          <w:rtl w:val="0"/>
        </w:rPr>
        <w:t xml:space="preserve"> Scaled custom MN-Core silicon designed specifically to bypass GPU bottlenecks in complex physics and modeling workloads.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Rebellions (South Korea):</w:t>
      </w:r>
      <w:r w:rsidDel="00000000" w:rsidR="00000000" w:rsidRPr="00000000">
        <w:rPr>
          <w:sz w:val="22"/>
          <w:szCs w:val="22"/>
          <w:rtl w:val="0"/>
        </w:rPr>
        <w:t xml:space="preserve"> Production-ready, ultra-low-latency enterprise and edge-LLM inference solutions.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Cambricon Technologies (China):</w:t>
      </w:r>
      <w:r w:rsidDel="00000000" w:rsidR="00000000" w:rsidRPr="00000000">
        <w:rPr>
          <w:sz w:val="22"/>
          <w:szCs w:val="22"/>
          <w:rtl w:val="0"/>
        </w:rPr>
        <w:t xml:space="preserve"> Deep domestic vertical integration and massive local software/hardware ecosystem footprint.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Axelera AI (Netherlands):</w:t>
      </w:r>
      <w:r w:rsidDel="00000000" w:rsidR="00000000" w:rsidRPr="00000000">
        <w:rPr>
          <w:sz w:val="22"/>
          <w:szCs w:val="22"/>
          <w:rtl w:val="0"/>
        </w:rPr>
        <w:t xml:space="preserve"> High-density Digital In-Memory Computing delivering spatial edge acceleration for European systems.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Semron (Germany):</w:t>
      </w:r>
      <w:r w:rsidDel="00000000" w:rsidR="00000000" w:rsidRPr="00000000">
        <w:rPr>
          <w:sz w:val="22"/>
          <w:szCs w:val="22"/>
          <w:rtl w:val="0"/>
        </w:rPr>
        <w:t xml:space="preserve"> Disruptive "CapRAM" physical device design bypasses transistors to deliver 20x energy step-changes for client form factors.</w:t>
      </w:r>
    </w:p>
    <w:p w:rsidR="00000000" w:rsidDel="00000000" w:rsidP="00000000" w:rsidRDefault="00000000" w:rsidRPr="00000000" w14:paraId="0000007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7: Software Stacks, Compilers, and Ecosystems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Software Moat:</w:t>
      </w:r>
      <w:r w:rsidDel="00000000" w:rsidR="00000000" w:rsidRPr="00000000">
        <w:rPr>
          <w:sz w:val="22"/>
          <w:szCs w:val="22"/>
          <w:rtl w:val="0"/>
        </w:rPr>
        <w:t xml:space="preserve"> NVIDIA CUDA, TensorRT, Triton, and native deep integration with PyTorch.</w:t>
      </w:r>
    </w:p>
    <w:p w:rsidR="00000000" w:rsidDel="00000000" w:rsidP="00000000" w:rsidRDefault="00000000" w:rsidRPr="00000000" w14:paraId="0000007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Hardware Abstraction Layers:</w:t>
      </w:r>
      <w:r w:rsidDel="00000000" w:rsidR="00000000" w:rsidRPr="00000000">
        <w:rPr>
          <w:sz w:val="22"/>
          <w:szCs w:val="22"/>
          <w:rtl w:val="0"/>
        </w:rPr>
        <w:t xml:space="preserve"> AMD's ROCm (HIP, MIGraphX) and Intel's oneAPI (OpenVINO).</w:t>
      </w:r>
    </w:p>
    <w:p w:rsidR="00000000" w:rsidDel="00000000" w:rsidP="00000000" w:rsidRDefault="00000000" w:rsidRPr="00000000" w14:paraId="0000007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Intermediate Representations (IR) and JIT Compilers:</w:t>
      </w:r>
      <w:r w:rsidDel="00000000" w:rsidR="00000000" w:rsidRPr="00000000">
        <w:rPr>
          <w:sz w:val="22"/>
          <w:szCs w:val="22"/>
          <w:rtl w:val="0"/>
        </w:rPr>
        <w:t xml:space="preserve"> The critical role of MLIR, LLVM, and Google’s XLA compiler in translating high-level code to hardware-specific machine instructions.</w:t>
      </w:r>
    </w:p>
    <w:p w:rsidR="00000000" w:rsidDel="00000000" w:rsidP="00000000" w:rsidRDefault="00000000" w:rsidRPr="00000000" w14:paraId="0000007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Software-Defined Hardware:</w:t>
      </w:r>
      <w:r w:rsidDel="00000000" w:rsidR="00000000" w:rsidRPr="00000000">
        <w:rPr>
          <w:sz w:val="22"/>
          <w:szCs w:val="22"/>
          <w:rtl w:val="0"/>
        </w:rPr>
        <w:t xml:space="preserve"> How static scheduling compilers (such as Groq's compiler) replace hardware-level branch prediction and dynamic scheduling logic with software compile-time deterministic routing.</w:t>
      </w:r>
    </w:p>
    <w:p w:rsidR="00000000" w:rsidDel="00000000" w:rsidP="00000000" w:rsidRDefault="00000000" w:rsidRPr="00000000" w14:paraId="0000007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8: Hardware Co-Design &amp; Interconnects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Memory Wall Countermeasures:</w:t>
      </w:r>
      <w:r w:rsidDel="00000000" w:rsidR="00000000" w:rsidRPr="00000000">
        <w:rPr>
          <w:sz w:val="22"/>
          <w:szCs w:val="22"/>
          <w:rtl w:val="0"/>
        </w:rPr>
        <w:t xml:space="preserve"> High Bandwidth Memory (HBM3e/HBM4) vs. Low-Power DDR (LPDDR5X) packaging on client-side platforms.</w:t>
      </w:r>
    </w:p>
    <w:p w:rsidR="00000000" w:rsidDel="00000000" w:rsidP="00000000" w:rsidRDefault="00000000" w:rsidRPr="00000000" w14:paraId="0000007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High-Speed Interconnects:</w:t>
      </w:r>
      <w:r w:rsidDel="00000000" w:rsidR="00000000" w:rsidRPr="00000000">
        <w:rPr>
          <w:sz w:val="22"/>
          <w:szCs w:val="22"/>
          <w:rtl w:val="0"/>
        </w:rPr>
        <w:t xml:space="preserve"> NVIDIA NVLink (5th Gen, 1.8 TB/s bidirectional), AMD Infinity Fabric, and optical circuit switching (OCS).</w:t>
      </w:r>
    </w:p>
    <w:p w:rsidR="00000000" w:rsidDel="00000000" w:rsidP="00000000" w:rsidRDefault="00000000" w:rsidRPr="00000000" w14:paraId="0000007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Scale-Out Networking:</w:t>
      </w:r>
      <w:r w:rsidDel="00000000" w:rsidR="00000000" w:rsidRPr="00000000">
        <w:rPr>
          <w:sz w:val="22"/>
          <w:szCs w:val="22"/>
          <w:rtl w:val="0"/>
        </w:rPr>
        <w:t xml:space="preserve"> Ultra-Ethernet Consortium (UEC) and InfiniBand fabrics.</w:t>
      </w:r>
    </w:p>
    <w:p w:rsidR="00000000" w:rsidDel="00000000" w:rsidP="00000000" w:rsidRDefault="00000000" w:rsidRPr="00000000" w14:paraId="0000008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9: Physical, Manufacturing, and Economic Limits</w:t>
      </w:r>
    </w:p>
    <w:p w:rsidR="00000000" w:rsidDel="00000000" w:rsidP="00000000" w:rsidRDefault="00000000" w:rsidRPr="00000000" w14:paraId="0000008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Reticle Limits and Chiplets:</w:t>
      </w:r>
      <w:r w:rsidDel="00000000" w:rsidR="00000000" w:rsidRPr="00000000">
        <w:rPr>
          <w:sz w:val="22"/>
          <w:szCs w:val="22"/>
          <w:rtl w:val="0"/>
        </w:rPr>
        <w:t xml:space="preserve"> Monolithic die size limits (858 mm²) and the physical necessity of Multi-Chip Modules (MCM).</w:t>
      </w:r>
    </w:p>
    <w:p w:rsidR="00000000" w:rsidDel="00000000" w:rsidP="00000000" w:rsidRDefault="00000000" w:rsidRPr="00000000" w14:paraId="0000008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Advanced Packaging Bottlenecks:</w:t>
      </w:r>
      <w:r w:rsidDel="00000000" w:rsidR="00000000" w:rsidRPr="00000000">
        <w:rPr>
          <w:sz w:val="22"/>
          <w:szCs w:val="22"/>
          <w:rtl w:val="0"/>
        </w:rPr>
        <w:t xml:space="preserve"> CoWoS (Chip-on-Wafer-on-Substrate) packaging and wafer yield dynamics.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Thermal Design Power (TDP):</w:t>
      </w:r>
      <w:r w:rsidDel="00000000" w:rsidR="00000000" w:rsidRPr="00000000">
        <w:rPr>
          <w:sz w:val="22"/>
          <w:szCs w:val="22"/>
          <w:rtl w:val="0"/>
        </w:rPr>
        <w:t xml:space="preserve"> Transitioning from 400W air-cooled accelerators to 1200W+ liquid-cooled supercomputing configurations.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Economic Metrics:</w:t>
      </w:r>
      <w:r w:rsidDel="00000000" w:rsidR="00000000" w:rsidRPr="00000000">
        <w:rPr>
          <w:sz w:val="22"/>
          <w:szCs w:val="22"/>
          <w:rtl w:val="0"/>
        </w:rPr>
        <w:t xml:space="preserve"> Total Cost of Ownership (TCO), performance-per-watt-per-dollar, and yield dynamics.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Chapter 10: Future Horizons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Silicon Photonics:</w:t>
      </w:r>
      <w:r w:rsidDel="00000000" w:rsidR="00000000" w:rsidRPr="00000000">
        <w:rPr>
          <w:sz w:val="22"/>
          <w:szCs w:val="22"/>
          <w:rtl w:val="0"/>
        </w:rPr>
        <w:t xml:space="preserve"> Utilizing light-based data transmission to bypass standard copper RC delay and thermal limits.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Processing-in-Memory (PIM):</w:t>
      </w:r>
      <w:r w:rsidDel="00000000" w:rsidR="00000000" w:rsidRPr="00000000">
        <w:rPr>
          <w:sz w:val="22"/>
          <w:szCs w:val="22"/>
          <w:rtl w:val="0"/>
        </w:rPr>
        <w:t xml:space="preserve"> Performing fundamental arithmetic operations directly inside DRAM or SRAM structures to eliminate physical bus movement entirely.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Alternative Architectures:</w:t>
      </w:r>
      <w:r w:rsidDel="00000000" w:rsidR="00000000" w:rsidRPr="00000000">
        <w:rPr>
          <w:sz w:val="22"/>
          <w:szCs w:val="22"/>
          <w:rtl w:val="0"/>
        </w:rPr>
        <w:t xml:space="preserve"> Neuromorphic computing, analog AI processors, and superconducting electronics.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Moonshot Integrations:</w:t>
      </w:r>
      <w:r w:rsidDel="00000000" w:rsidR="00000000" w:rsidRPr="00000000">
        <w:rPr>
          <w:sz w:val="22"/>
          <w:szCs w:val="22"/>
          <w:rtl w:val="0"/>
        </w:rPr>
        <w:t xml:space="preserve"> IBM’s Co-Packaged Optics (CPO) milestone utilizing high-density mass-producible Polymer Optical Waveguides (PWGs) to scale chip interconnect bandwidth by up to 80x while reducing power budgets by 80%.</w:t>
      </w:r>
    </w:p>
    <w:p w:rsidR="00000000" w:rsidDel="00000000" w:rsidP="00000000" w:rsidRDefault="00000000" w:rsidRPr="00000000" w14:paraId="0000008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30" w:lineRule="auto"/>
        <w:rPr/>
      </w:pPr>
      <w:r w:rsidDel="00000000" w:rsidR="00000000" w:rsidRPr="00000000">
        <w:rPr>
          <w:rtl w:val="0"/>
        </w:rPr>
        <w:t xml:space="preserve">Addendum: Technical Deep Dives (Optional Reading)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Addendum A: GPGPU Execution Pipeline Mechanics</w:t>
      </w:r>
    </w:p>
    <w:p w:rsidR="00000000" w:rsidDel="00000000" w:rsidP="00000000" w:rsidRDefault="00000000" w:rsidRPr="00000000" w14:paraId="0000008C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sz w:val="22"/>
          <w:szCs w:val="22"/>
          <w:rtl w:val="0"/>
        </w:rPr>
        <w:t xml:space="preserve">Detailed physical breakdown of Unified Shader pipelines (Streaming Multiprocessors, Warps, Coalesced memory-access hardware, Register files).</w:t>
      </w:r>
    </w:p>
    <w:p w:rsidR="00000000" w:rsidDel="00000000" w:rsidP="00000000" w:rsidRDefault="00000000" w:rsidRPr="00000000" w14:paraId="0000008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sz w:val="22"/>
          <w:szCs w:val="22"/>
          <w:rtl w:val="0"/>
        </w:rPr>
        <w:t xml:space="preserve">Microarchitectural execution of hardware scheduling blocks and branch-handling penalty mitigation.</w:t>
      </w:r>
    </w:p>
    <w:p w:rsidR="00000000" w:rsidDel="00000000" w:rsidP="00000000" w:rsidRDefault="00000000" w:rsidRPr="00000000" w14:paraId="0000008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Addendum B: Systolic Array Physical Dataflow Dynamics</w:t>
      </w:r>
    </w:p>
    <w:p w:rsidR="00000000" w:rsidDel="00000000" w:rsidP="00000000" w:rsidRDefault="00000000" w:rsidRPr="00000000" w14:paraId="0000008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sz w:val="22"/>
          <w:szCs w:val="22"/>
          <w:rtl w:val="0"/>
        </w:rPr>
        <w:t xml:space="preserve">Detailed spatial physical diagrams and gate-level flows: Weight-stationary vs. Activation-stationary vs. Output-stationary data movements.</w:t>
      </w:r>
    </w:p>
    <w:p w:rsidR="00000000" w:rsidDel="00000000" w:rsidP="00000000" w:rsidRDefault="00000000" w:rsidRPr="00000000" w14:paraId="0000009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sz w:val="22"/>
          <w:szCs w:val="22"/>
          <w:rtl w:val="0"/>
        </w:rPr>
        <w:t xml:space="preserve">Physical register-shunting pathways, accumulation loops, and hardware implementations of Processing Elements.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Addendum C: Microsoft FPGA Cloud Architectures (Project Catapult &amp; Brainwave)</w:t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Catapult:</w:t>
      </w:r>
      <w:r w:rsidDel="00000000" w:rsidR="00000000" w:rsidRPr="00000000">
        <w:rPr>
          <w:sz w:val="22"/>
          <w:szCs w:val="22"/>
          <w:rtl w:val="0"/>
        </w:rPr>
        <w:t xml:space="preserve"> Detailed physical schematic of FPGA placement inline with PCIe/Ethernet interfaces on server boards, and low-latency hardware-level packet injection.</w:t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Project Brainwave:</w:t>
      </w:r>
      <w:r w:rsidDel="00000000" w:rsidR="00000000" w:rsidRPr="00000000">
        <w:rPr>
          <w:sz w:val="22"/>
          <w:szCs w:val="22"/>
          <w:rtl w:val="0"/>
        </w:rPr>
        <w:t xml:space="preserve"> Hard macro logic mappings of deep GRUs and spatial convolutional structures directly onto FPGA physical routing resources.</w:t>
      </w:r>
    </w:p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Addendum D: Microarchitectural Dissections of Modern Custom Platforms</w:t>
      </w:r>
    </w:p>
    <w:p w:rsidR="00000000" w:rsidDel="00000000" w:rsidP="00000000" w:rsidRDefault="00000000" w:rsidRPr="00000000" w14:paraId="00000095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Rule="auto"/>
        <w:ind w:right="0" w:hanging="60"/>
      </w:pPr>
      <w:r w:rsidDel="00000000" w:rsidR="00000000" w:rsidRPr="00000000">
        <w:rPr>
          <w:sz w:val="22"/>
          <w:szCs w:val="22"/>
          <w:rtl w:val="0"/>
        </w:rPr>
        <w:t xml:space="preserve">Deep physical analyses of Microsoft Maia 100/200 Tile microarchitecture, Google TPU Matrix Multiply Units (MXUs), and OpenAI "Jalapeño" tailored memory controller designs.</w:t>
      </w:r>
    </w:p>
    <w:p w:rsidR="00000000" w:rsidDel="00000000" w:rsidP="00000000" w:rsidRDefault="00000000" w:rsidRPr="00000000" w14:paraId="00000096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beforeAutospacing="0" w:lineRule="auto"/>
        <w:ind w:right="0" w:hanging="60"/>
      </w:pPr>
      <w:r w:rsidDel="00000000" w:rsidR="00000000" w:rsidRPr="00000000">
        <w:rPr>
          <w:sz w:val="22"/>
          <w:szCs w:val="22"/>
          <w:rtl w:val="0"/>
        </w:rPr>
        <w:t xml:space="preserve">Hardware execution pathways of startup silicon: Cerebras WSE-3 on-wafer power delivery, Groq LPU's static compiler-controlled register buffers, and SambaNova's reconfigurable dynamic routing tiles.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4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after="300" w:before="300" w:line="32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20" w:before="240" w:lineRule="auto"/>
      <w:ind w:left="0" w:right="0" w:firstLine="0"/>
    </w:pPr>
    <w:rPr>
      <w:b w:val="1"/>
      <w:bCs w:val="1"/>
      <w:i w:val="0"/>
      <w:iCs w:val="0"/>
      <w:color w:val="1a365d"/>
      <w:sz w:val="44"/>
      <w:szCs w:val="44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375" w:lineRule="auto"/>
      <w:ind w:left="0" w:right="0" w:firstLine="0"/>
    </w:pPr>
    <w:rPr>
      <w:b w:val="1"/>
      <w:bCs w:val="1"/>
      <w:i w:val="0"/>
      <w:iCs w:val="0"/>
      <w:color w:val="2b6cb0"/>
      <w:sz w:val="30"/>
      <w:szCs w:val="30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70" w:lineRule="auto"/>
      <w:ind w:left="0" w:right="0" w:firstLine="0"/>
    </w:pPr>
    <w:rPr>
      <w:b w:val="1"/>
      <w:bCs w:val="1"/>
      <w:i w:val="0"/>
      <w:iCs w:val="0"/>
      <w:color w:val="4a5568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