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pacing w:val="0"/>
          <w:sz w:val="32"/>
          <w:szCs w:val="32"/>
        </w:rPr>
      </w:pPr>
      <w:r>
        <w:rPr>
          <w:b/>
          <w:spacing w:val="0"/>
          <w:sz w:val="32"/>
          <w:szCs w:val="32"/>
        </w:rPr>
        <w:t>4.5. Результаты ревизии КРУ, КРЭ</w:t>
      </w:r>
      <w:r>
        <w:rPr>
          <w:spacing w:val="0"/>
          <w:sz w:val="32"/>
          <w:szCs w:val="32"/>
        </w:rPr>
        <w:t xml:space="preserve"> </w:t>
      </w:r>
    </w:p>
    <w:p>
      <w:pPr>
        <w:pStyle w:val="Normal"/>
        <w:rPr/>
      </w:pPr>
      <w:r>
        <w:rPr/>
      </w:r>
    </w:p>
    <w:tbl>
      <w:tblPr>
        <w:tblW w:w="923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1"/>
        <w:gridCol w:w="818"/>
        <w:gridCol w:w="7633"/>
      </w:tblGrid>
      <w:tr>
        <w:trPr>
          <w:trHeight w:val="140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 xml:space="preserve">№№ </w:t>
            </w: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п.п.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 xml:space="preserve">№№ </w:t>
            </w: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скв.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Выявленные разрушения после сезона отбора газа 2025-2026 гг.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1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31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- 20%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- 70%; штока - 45%; тарели - 5%</w:t>
            </w:r>
          </w:p>
        </w:tc>
      </w:tr>
      <w:tr>
        <w:trPr>
          <w:trHeight w:val="56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износ:втулки - 15%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49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- 25%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5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- 10%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6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- 5%; тарели - 25%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7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67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- 80%; штока - 20%;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8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68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- 100%; штока - 100%; тарели - 10%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9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69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- 85%; упора - 35%; штока - 80%; тарели - 90%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10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- 60%; штока - 90%; тарели - 40%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упора - 40%; штока - 90%; поршня нижнего- 40%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63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втулки - 70%; штока - 20%; тарели - 20%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2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215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- 40%; седла - 20%; упора - 30%;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100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- 40%; тарели - 30%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176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- 40%; поршня - 20%; тарели - 40%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204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упора - 30%; тарели - 10%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5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88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упора - 40%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6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169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поршня - 30%;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7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84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- 30%;тарели - 40%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8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258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- 30%;тарели - 20%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9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178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10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82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- 20%;тарели - 30%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166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седла - 30%; тарели - 50%; поршня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216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- 40%; седла - 20%;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89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76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 тарели - 30%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15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101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тарели - 30%; поршня - 20%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16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205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седла - 20%; тарели - 20%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17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95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 тарели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18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79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 седла - 20%; тарели - 30%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19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74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- 30%; поршня - 20%; тарели - 30%; упора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20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96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- 20%; тарели - 40%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3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186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- 40%; проставки - 10%; поршня - 20%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184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- 20%; поршня - 20%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226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- 20%; седла - 20%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182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- 40%; проставки - 10%; упора - 50%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5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297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- 20%; поршня - 20%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6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187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- 40%; проставки - 20%; седла - 30%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7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302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- 30%; проставки - 20%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8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190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- 50%; поршня - 20%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9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200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- 10%</w:t>
            </w:r>
          </w:p>
        </w:tc>
      </w:tr>
      <w:tr>
        <w:trPr>
          <w:trHeight w:val="15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10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220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- 30%; проставки - 30%; поршня - 40%; седла - 40%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193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- 20%; проставки - 20%; поршня - 20%</w:t>
            </w:r>
          </w:p>
        </w:tc>
      </w:tr>
      <w:tr>
        <w:trPr>
          <w:trHeight w:val="15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233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- 40%; проставки - 20%; поршня - 20%; седла - 20%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4</w:t>
            </w:r>
          </w:p>
        </w:tc>
      </w:tr>
      <w:tr>
        <w:trPr>
          <w:trHeight w:val="15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</w:rPr>
              <w:t>413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тарели - 50%; нижнего поршня - 50%; штока - 50%; седла - 50%</w:t>
            </w:r>
          </w:p>
        </w:tc>
      </w:tr>
      <w:tr>
        <w:trPr>
          <w:trHeight w:val="15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</w:rPr>
              <w:t>413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тарели - 50%; нижнего поршня - 50%; штока - 50%; седла - 50%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241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тарели - 50%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173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тарели - 50%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5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296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тарели - 30%; штока - 50%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304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тарели - 50%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218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тарели - 70%; седла - 50%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300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- 10%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8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417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- 50%</w:t>
            </w:r>
          </w:p>
        </w:tc>
      </w:tr>
      <w:tr>
        <w:trPr>
          <w:trHeight w:val="18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433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- 100%; упора - 50%; нижнего поршня - 40%; перфорации внутри корпуса</w:t>
            </w:r>
          </w:p>
        </w:tc>
      </w:tr>
      <w:tr>
        <w:trPr>
          <w:trHeight w:val="21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437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- 50%; щел.упор заменён (потеря геометрии); незначительный износ нижнего поршня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438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проставки - 50%; незначительный износ тарели и седла</w:t>
            </w:r>
          </w:p>
        </w:tc>
      </w:tr>
      <w:tr>
        <w:trPr>
          <w:trHeight w:val="416" w:hRule="atLeast"/>
        </w:trPr>
        <w:tc>
          <w:tcPr>
            <w:tcW w:w="923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BFBFBF" w:val="clear"/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strike w:val="false"/>
                <w:dstrike w:val="false"/>
                <w:sz w:val="24"/>
              </w:rPr>
              <w:t>ГСП – 9</w:t>
            </w:r>
          </w:p>
        </w:tc>
      </w:tr>
      <w:tr>
        <w:trPr>
          <w:trHeight w:val="6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500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- 50%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501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- 90%; корпуса - 55%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502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- 90%; корпуса - 50%</w:t>
            </w:r>
          </w:p>
        </w:tc>
      </w:tr>
      <w:tr>
        <w:trPr>
          <w:trHeight w:val="21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4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505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- 100%; корпуса - 50%; втулки - 50%</w:t>
              <w:br/>
              <w:t>При ГДИ с породоуловителем выявлено пескопроявление</w:t>
            </w:r>
          </w:p>
        </w:tc>
      </w:tr>
      <w:tr>
        <w:trPr>
          <w:trHeight w:val="140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5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514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При ГДИ с породоуловителем выявлено пескопроявление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6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516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- 80%; корпуса - 50%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7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517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- 70%; корпуса - 60%</w:t>
            </w:r>
          </w:p>
        </w:tc>
      </w:tr>
      <w:tr>
        <w:trPr>
          <w:trHeight w:val="24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8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518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- 40%; корпуса - 55%; втулки - 30%; обоймы - 90%</w:t>
              <w:br/>
              <w:t>При ГДИ с породоуловителем выявлено пескопроявление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9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520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- 80%; втулки - 80%</w:t>
            </w:r>
          </w:p>
        </w:tc>
      </w:tr>
      <w:tr>
        <w:trPr>
          <w:trHeight w:val="2171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10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523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- 100%; корпуса - 50%; втулки - 40%</w:t>
              <w:br/>
              <w:t>При ГДИ с породоуловителем выявлено пескопроявление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11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537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- 90%; корпуса - 50%</w:t>
            </w:r>
          </w:p>
        </w:tc>
      </w:tr>
      <w:tr>
        <w:trPr>
          <w:trHeight w:val="12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12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541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- 100%; корпуса - 50%; втулки - 80%; обоймы - 80%</w:t>
            </w:r>
          </w:p>
        </w:tc>
      </w:tr>
      <w:tr>
        <w:trPr>
          <w:trHeight w:val="986" w:hRule="atLeast"/>
        </w:trPr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strike w:val="false"/>
                <w:dstrike w:val="false"/>
                <w:sz w:val="24"/>
              </w:rPr>
              <w:t>13</w:t>
            </w:r>
          </w:p>
        </w:tc>
        <w:tc>
          <w:tcPr>
            <w:tcW w:w="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ind w:hanging="0" w:left="0" w:right="0"/>
              <w:jc w:val="center"/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</w:pPr>
            <w:r>
              <w:rPr>
                <w:rFonts w:ascii="ARial Narrow" w:hAnsi="ARial Narrow"/>
                <w:b/>
                <w:i/>
                <w:strike w:val="false"/>
                <w:dstrike w:val="false"/>
                <w:sz w:val="24"/>
              </w:rPr>
              <w:t>543</w:t>
            </w:r>
          </w:p>
        </w:tc>
        <w:tc>
          <w:tcPr>
            <w:tcW w:w="7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4"/>
              <w:spacing w:lineRule="auto" w:line="360"/>
              <w:jc w:val="center"/>
              <w:rPr>
                <w:rFonts w:ascii="ARial Narrow" w:hAnsi="ARial Narrow"/>
                <w:strike w:val="false"/>
                <w:dstrike w:val="false"/>
              </w:rPr>
            </w:pPr>
            <w:r>
              <w:rPr>
                <w:rFonts w:ascii="ARial Narrow" w:hAnsi="ARial Narrow"/>
                <w:strike w:val="false"/>
                <w:dstrike w:val="false"/>
              </w:rPr>
              <w:t>Эрозионный износ: седла - 100%; корпуса - 50%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567" w:gutter="0" w:header="0" w:top="567" w:footer="737" w:bottom="794"/>
      <w:pgNumType w:start="4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Open Sans">
    <w:charset w:val="01"/>
    <w:family w:val="roman"/>
    <w:pitch w:val="variable"/>
  </w:font>
  <w:font w:name="ARial Narrow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Lohit Devanagari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Lohit Devanagari"/>
      <w:color w:val="auto"/>
      <w:spacing w:val="-30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qFormat/>
    <w:pPr>
      <w:keepNext w:val="true"/>
      <w:outlineLvl w:val="0"/>
    </w:pPr>
    <w:rPr>
      <w:b/>
      <w:spacing w:val="0"/>
      <w:lang w:eastAsia="ru-RU"/>
    </w:rPr>
  </w:style>
  <w:style w:type="paragraph" w:styleId="Heading2">
    <w:name w:val="Heading 2"/>
    <w:basedOn w:val="Normal"/>
    <w:qFormat/>
    <w:pPr>
      <w:keepNext w:val="true"/>
      <w:outlineLvl w:val="1"/>
    </w:pPr>
    <w:rPr>
      <w:b/>
      <w:spacing w:val="0"/>
      <w:u w:val="single"/>
    </w:rPr>
  </w:style>
  <w:style w:type="paragraph" w:styleId="Heading3">
    <w:name w:val="Heading 3"/>
    <w:basedOn w:val="Normal"/>
    <w:qFormat/>
    <w:pPr>
      <w:keepNext w:val="true"/>
      <w:jc w:val="center"/>
      <w:outlineLvl w:val="2"/>
    </w:pPr>
    <w:rPr>
      <w:b/>
      <w:spacing w:val="0"/>
      <w:sz w:val="28"/>
    </w:rPr>
  </w:style>
  <w:style w:type="paragraph" w:styleId="Heading4">
    <w:name w:val="Heading 4"/>
    <w:basedOn w:val="Normal"/>
    <w:qFormat/>
    <w:pPr>
      <w:keepNext w:val="true"/>
      <w:spacing w:lineRule="atLeast" w:line="240"/>
      <w:jc w:val="both"/>
      <w:outlineLvl w:val="3"/>
    </w:pPr>
    <w:rPr>
      <w:rFonts w:ascii="Arial" w:hAnsi="Arial" w:cs="Arial"/>
      <w:i/>
      <w:spacing w:val="0"/>
      <w:sz w:val="20"/>
    </w:rPr>
  </w:style>
  <w:style w:type="paragraph" w:styleId="Heading5">
    <w:name w:val="Heading 5"/>
    <w:basedOn w:val="Normal"/>
    <w:qFormat/>
    <w:pPr>
      <w:keepNext w:val="true"/>
      <w:outlineLvl w:val="4"/>
    </w:pPr>
    <w:rPr>
      <w:rFonts w:ascii="Arial" w:hAnsi="Arial"/>
      <w:bCs/>
      <w:i/>
      <w:color w:val="0000FF"/>
      <w:spacing w:val="0"/>
      <w:sz w:val="20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7">
    <w:name w:val="Основной шрифт абзаца"/>
    <w:semiHidden/>
    <w:qFormat/>
    <w:rPr/>
  </w:style>
  <w:style w:type="character" w:styleId="PageNumber">
    <w:name w:val="Page Number"/>
    <w:basedOn w:val="Style7"/>
    <w:rPr/>
  </w:style>
  <w:style w:type="character" w:styleId="Style8">
    <w:name w:val="Текст выноски Знак"/>
    <w:qFormat/>
    <w:rPr>
      <w:rFonts w:ascii="Tahoma" w:hAnsi="Tahoma" w:cs="Tahoma"/>
      <w:spacing w:val="-30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BodyText">
    <w:name w:val="Body Text"/>
    <w:basedOn w:val="Normal"/>
    <w:pPr/>
    <w:rPr>
      <w:spacing w:val="0"/>
      <w:lang w:eastAsia="ru-R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jc w:val="center"/>
    </w:pPr>
    <w:rPr>
      <w:b/>
      <w:spacing w:val="0"/>
      <w:sz w:val="28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Droid Sans Fallback" w:cs="Lohit Devanagari"/>
      <w:color w:val="auto"/>
      <w:kern w:val="0"/>
      <w:sz w:val="20"/>
      <w:szCs w:val="20"/>
      <w:lang w:val="ru-RU" w:eastAsia="zh-CN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Style11">
    <w:name w:val="Колонтитул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Lohit Devanagari"/>
      <w:color w:val="auto"/>
      <w:kern w:val="0"/>
      <w:sz w:val="20"/>
      <w:szCs w:val="20"/>
      <w:lang w:val="ru-RU" w:eastAsia="zh-CN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BodyTextIndent">
    <w:name w:val="Body Text Indent"/>
    <w:basedOn w:val="Normal"/>
    <w:pPr>
      <w:ind w:firstLine="851"/>
      <w:jc w:val="both"/>
    </w:pPr>
    <w:rPr>
      <w:rFonts w:ascii="Arial" w:hAnsi="Arial" w:cs="Arial"/>
      <w:spacing w:val="0"/>
      <w:szCs w:val="24"/>
    </w:rPr>
  </w:style>
  <w:style w:type="paragraph" w:styleId="2">
    <w:name w:val="Основной текст 2"/>
    <w:basedOn w:val="Normal"/>
    <w:qFormat/>
    <w:pPr>
      <w:jc w:val="both"/>
    </w:pPr>
    <w:rPr>
      <w:spacing w:val="0"/>
    </w:rPr>
  </w:style>
  <w:style w:type="paragraph" w:styleId="21">
    <w:name w:val="Основной текст с отступом 2"/>
    <w:basedOn w:val="Normal"/>
    <w:qFormat/>
    <w:pPr>
      <w:ind w:left="5103"/>
      <w:jc w:val="both"/>
    </w:pPr>
    <w:rPr>
      <w:rFonts w:ascii="Arial" w:hAnsi="Arial"/>
      <w:i/>
      <w:iCs/>
      <w:spacing w:val="0"/>
      <w:u w:val="single"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>
    <w:name w:val="Нет списка"/>
    <w:semiHidden/>
    <w:qFormat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LibreOffice/7.6.7.2$Linux_X86_64 LibreOffice_project/60$Build-2</Application>
  <AppVersion>15.0000</AppVersion>
  <Pages>6</Pages>
  <Words>862</Words>
  <Characters>3758</Characters>
  <CharactersWithSpaces>4409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2018-04-24T07:21:00Z</dcterms:created>
  <dc:creator>geolog1</dc:creator>
  <dc:description/>
  <dc:language>ru-RU</dc:language>
  <cp:lastModifiedBy/>
  <dcterms:modified xsi:type="dcterms:W3CDTF">2026-09-29T10:43:04Z</dcterms:modified>
  <cp:revision>77</cp:revision>
  <dc:subject/>
  <dc:title>9</dc:title>
  <cp:version>983040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