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rFonts w:ascii="Calibri" w:hAnsi="Calibri"/>
          <w:b/>
          <w:color w:val="0F172A"/>
          <w:sz w:val="36"/>
        </w:rPr>
        <w:t>FLOWCHART &amp; PANDUAN SISTEM PERSEDIAAN (INVENTORY) ERPNEXT</w:t>
      </w:r>
    </w:p>
    <w:p>
      <w:pPr>
        <w:spacing w:after="280"/>
        <w:jc w:val="center"/>
      </w:pPr>
      <w:r>
        <w:rPr>
          <w:rFonts w:ascii="Calibri" w:hAnsi="Calibri"/>
          <w:i/>
          <w:color w:val="475569"/>
          <w:sz w:val="22"/>
        </w:rPr>
        <w:t>Studi Kasus Industri Manufaktur Furniture — Perusahaan: Vlara Danita</w:t>
        <w:br/>
        <w:t>Alur Mutasi Stok: Pembelian Bahan Baku -&gt; Transfer WIP -&gt; Barang Jadi -&gt; Pengiriman Penjualan</w:t>
      </w:r>
    </w:p>
    <w:p>
      <w:pPr>
        <w:spacing w:after="240"/>
        <w:pBdr>
          <w:bottom w:val="single" w:sz="12" w:space="1" w:color="0284C7"/>
        </w:pBdr>
      </w:pPr>
    </w:p>
    <w:p>
      <w:pPr>
        <w:pStyle w:val="Heading1"/>
        <w:spacing w:before="240" w:after="120"/>
      </w:pPr>
      <w:r>
        <w:rPr>
          <w:rFonts w:ascii="Calibri" w:hAnsi="Calibri"/>
          <w:color w:val="0284C7"/>
          <w:sz w:val="28"/>
        </w:rPr>
        <w:t>1. Diagram Alur Sistem Persediaan (Visual Flowchart)</w:t>
      </w:r>
    </w:p>
    <w:p>
      <w:pPr>
        <w:spacing w:after="200"/>
      </w:pPr>
      <w:r>
        <w:rPr>
          <w:rFonts w:ascii="Calibri" w:hAnsi="Calibri"/>
          <w:sz w:val="21"/>
        </w:rPr>
        <w:t>Berikut adalah diagram alir (*flowchart*) menyeluruh siklus persediaan barang di ERPNext, mulai dari pengadaan bahan mentah, mutasi barang setengah jadi di ruang produksi, hingga penyerahan barang jadi ke pelanggan:</w:t>
      </w:r>
    </w:p>
    <w:p>
      <w:pPr>
        <w:spacing w:before="80" w:after="240"/>
        <w:jc w:val="center"/>
      </w:pPr>
    </w:p>
    <w:p>
      <w:r>
        <w:drawing>
          <wp:inline xmlns:a="http://schemas.openxmlformats.org/drawingml/2006/main" xmlns:pic="http://schemas.openxmlformats.org/drawingml/2006/picture">
            <wp:extent cx="6217920" cy="8938260"/>
            <wp:docPr id="1" name="Picture 1"/>
            <wp:cNvGraphicFramePr>
              <a:graphicFrameLocks noChangeAspect="1"/>
            </wp:cNvGraphicFramePr>
            <a:graphic>
              <a:graphicData uri="http://schemas.openxmlformats.org/drawingml/2006/picture">
                <pic:pic>
                  <pic:nvPicPr>
                    <pic:cNvPr id="0" name="flowchart_persediaan_erpnext.png"/>
                    <pic:cNvPicPr/>
                  </pic:nvPicPr>
                  <pic:blipFill>
                    <a:blip r:embed="rId9"/>
                    <a:stretch>
                      <a:fillRect/>
                    </a:stretch>
                  </pic:blipFill>
                  <pic:spPr>
                    <a:xfrm>
                      <a:off x="0" y="0"/>
                      <a:ext cx="6217920" cy="8938260"/>
                    </a:xfrm>
                    <a:prstGeom prst="rect"/>
                  </pic:spPr>
                </pic:pic>
              </a:graphicData>
            </a:graphic>
          </wp:inline>
        </w:drawing>
      </w:r>
    </w:p>
    <w:p>
      <w:pPr>
        <w:spacing w:after="320"/>
        <w:jc w:val="center"/>
      </w:pPr>
      <w:r>
        <w:rPr>
          <w:rFonts w:ascii="Calibri" w:hAnsi="Calibri"/>
          <w:i/>
          <w:color w:val="64748B"/>
          <w:sz w:val="19"/>
        </w:rPr>
        <w:t>Gambar 1: Flowchart Siklus Persediaan Manufaktur ERPNext (Perpetual Inventory)</w:t>
      </w:r>
    </w:p>
    <w:p>
      <w:r>
        <w:br w:type="page"/>
      </w:r>
    </w:p>
    <w:p>
      <w:pPr>
        <w:pStyle w:val="Heading1"/>
        <w:spacing w:before="280" w:after="120"/>
      </w:pPr>
      <w:r>
        <w:rPr>
          <w:rFonts w:ascii="Calibri" w:hAnsi="Calibri"/>
          <w:color w:val="0284C7"/>
          <w:sz w:val="28"/>
        </w:rPr>
        <w:t>2. Rincian dan Mekanisme Setiap Tahapan</w:t>
      </w:r>
    </w:p>
    <w:p>
      <w:pPr>
        <w:spacing w:before="200" w:after="40"/>
      </w:pPr>
      <w:r>
        <w:rPr>
          <w:rFonts w:ascii="Calibri" w:hAnsi="Calibri"/>
          <w:b/>
          <w:color w:val="1E293B"/>
          <w:sz w:val="24"/>
        </w:rPr>
        <w:t>■ Tahap I: Pengadaan &amp; Penerimaan Bahan Baku (Inbound Inventory)</w:t>
      </w:r>
    </w:p>
    <w:p>
      <w:pPr>
        <w:spacing w:after="80"/>
      </w:pPr>
      <w:r>
        <w:rPr>
          <w:rFonts w:ascii="Calibri" w:hAnsi="Calibri"/>
          <w:i/>
          <w:sz w:val="20"/>
        </w:rPr>
        <w:t>Fase ini mengatur masuknya bahan baku fisik dari para pemasok:</w:t>
      </w:r>
    </w:p>
    <w:p>
      <w:pPr>
        <w:pStyle w:val="ListBullet"/>
        <w:spacing w:before="20" w:after="40"/>
      </w:pPr>
      <w:r>
        <w:rPr>
          <w:rFonts w:ascii="Calibri" w:hAnsi="Calibri"/>
          <w:b/>
          <w:sz w:val="20"/>
        </w:rPr>
        <w:t xml:space="preserve">Purchase Order (PO): </w:t>
      </w:r>
      <w:r>
        <w:rPr>
          <w:rFonts w:ascii="Calibri" w:hAnsi="Calibri"/>
          <w:sz w:val="20"/>
        </w:rPr>
        <w:t>Dokumen pemesanan bahan baku ke supplier (Kayu Mahoni, Kaki Besi, Baut, Cat). Pada tahap ini belum ada mutasi stok fisik di sistem.</w:t>
      </w:r>
    </w:p>
    <w:p>
      <w:pPr>
        <w:pStyle w:val="ListBullet"/>
        <w:spacing w:before="20" w:after="40"/>
      </w:pPr>
      <w:r>
        <w:rPr>
          <w:rFonts w:ascii="Calibri" w:hAnsi="Calibri"/>
          <w:b/>
          <w:sz w:val="20"/>
        </w:rPr>
        <w:t xml:space="preserve">Purchase Receipt (Tanda Terima): </w:t>
      </w:r>
      <w:r>
        <w:rPr>
          <w:rFonts w:ascii="Calibri" w:hAnsi="Calibri"/>
          <w:sz w:val="20"/>
        </w:rPr>
        <w:t>Titik masuk persediaan fisik ke gudang 'Stores - VD'. Dokumen ini otomatis menambah kuantitas dan nilai stok pada Stock Ledger.</w:t>
      </w:r>
    </w:p>
    <w:p>
      <w:pPr>
        <w:pStyle w:val="ListBullet"/>
        <w:spacing w:before="20" w:after="40"/>
      </w:pPr>
      <w:r>
        <w:rPr>
          <w:rFonts w:ascii="Calibri" w:hAnsi="Calibri"/>
          <w:b/>
          <w:sz w:val="20"/>
        </w:rPr>
        <w:t xml:space="preserve">Jurnal Otomatis Akuntansi: </w:t>
      </w:r>
      <w:r>
        <w:rPr>
          <w:rFonts w:ascii="Calibri" w:hAnsi="Calibri"/>
          <w:sz w:val="20"/>
        </w:rPr>
        <w:t>ERPNext menerapkan sistem Persediaan Abadi (Perpetual Inventory). Saat Purchase Receipt disubmit, sistem otomatis menjurnal:</w:t>
        <w:br/>
        <w:t>• Debit: Akun Persediaan Bahan Baku (Stock In Hand)</w:t>
        <w:br/>
        <w:t>• Kredit: Akun Hutang Barang Belum Ditagih (Stock Received But Not Billed)</w:t>
      </w:r>
    </w:p>
    <w:p>
      <w:pPr>
        <w:pStyle w:val="ListBullet"/>
        <w:spacing w:before="20" w:after="40"/>
      </w:pPr>
      <w:r>
        <w:rPr>
          <w:rFonts w:ascii="Calibri" w:hAnsi="Calibri"/>
          <w:b/>
          <w:sz w:val="20"/>
        </w:rPr>
        <w:t xml:space="preserve">Purchase Invoice: </w:t>
      </w:r>
      <w:r>
        <w:rPr>
          <w:rFonts w:ascii="Calibri" w:hAnsi="Calibri"/>
          <w:sz w:val="20"/>
        </w:rPr>
        <w:t>Penerimaan faktur dari supplier yang mengonversi hutang belum ditagih menjadi Hutang Usaha (Accounts Payable).</w:t>
      </w:r>
    </w:p>
    <w:p>
      <w:pPr>
        <w:spacing w:before="200" w:after="40"/>
      </w:pPr>
      <w:r>
        <w:rPr>
          <w:rFonts w:ascii="Calibri" w:hAnsi="Calibri"/>
          <w:b/>
          <w:color w:val="1E293B"/>
          <w:sz w:val="24"/>
        </w:rPr>
        <w:t>■ Tahap II: Pengeluaran Bahan ke Ruang Perakitan (Work In Progress / WIP)</w:t>
      </w:r>
    </w:p>
    <w:p>
      <w:pPr>
        <w:spacing w:after="80"/>
      </w:pPr>
      <w:r>
        <w:rPr>
          <w:rFonts w:ascii="Calibri" w:hAnsi="Calibri"/>
          <w:i/>
          <w:sz w:val="20"/>
        </w:rPr>
        <w:t>Fase ini mengatur pergerakan bahan mentah yang mulai diproses di lantai pabrik:</w:t>
      </w:r>
    </w:p>
    <w:p>
      <w:pPr>
        <w:pStyle w:val="ListBullet"/>
        <w:spacing w:before="20" w:after="40"/>
      </w:pPr>
      <w:r>
        <w:rPr>
          <w:rFonts w:ascii="Calibri" w:hAnsi="Calibri"/>
          <w:b/>
          <w:sz w:val="20"/>
        </w:rPr>
        <w:t xml:space="preserve">Work Order: </w:t>
      </w:r>
      <w:r>
        <w:rPr>
          <w:rFonts w:ascii="Calibri" w:hAnsi="Calibri"/>
          <w:sz w:val="20"/>
        </w:rPr>
        <w:t>Dokumen perintah produksi yang merujuk pada Bill of Materials (BOM) produk FG-MEJA-01. Work Order merinci bahan baku yang dibutuhkan.</w:t>
      </w:r>
    </w:p>
    <w:p>
      <w:pPr>
        <w:pStyle w:val="ListBullet"/>
        <w:spacing w:before="20" w:after="40"/>
      </w:pPr>
      <w:r>
        <w:rPr>
          <w:rFonts w:ascii="Calibri" w:hAnsi="Calibri"/>
          <w:b/>
          <w:sz w:val="20"/>
        </w:rPr>
        <w:t xml:space="preserve">Stock Entry: Material Transfer for Manufacture: </w:t>
      </w:r>
      <w:r>
        <w:rPr>
          <w:rFonts w:ascii="Calibri" w:hAnsi="Calibri"/>
          <w:sz w:val="20"/>
        </w:rPr>
        <w:t>Dibuat saat tombol 'Start' pada Work Order diklik. Dokumen ini memindahkan bahan baku dari gudang penyimpanan bahan baku ('Stores - VD') ke gudang perakitan ('Work In Progress - VD').</w:t>
      </w:r>
    </w:p>
    <w:p>
      <w:pPr>
        <w:pStyle w:val="ListBullet"/>
        <w:spacing w:before="20" w:after="40"/>
      </w:pPr>
      <w:r>
        <w:rPr>
          <w:rFonts w:ascii="Calibri" w:hAnsi="Calibri"/>
          <w:b/>
          <w:sz w:val="20"/>
        </w:rPr>
        <w:t xml:space="preserve">Efek Stok &amp; Akuntansi: </w:t>
      </w:r>
      <w:r>
        <w:rPr>
          <w:rFonts w:ascii="Calibri" w:hAnsi="Calibri"/>
          <w:sz w:val="20"/>
        </w:rPr>
        <w:t>• Gudang Stores - VD: Stok bahan mentah berkurang (-RM).</w:t>
        <w:br/>
        <w:t>• Gudang Work In Progress - VD: Saldo barang dalam proses bertambah (+WIP).</w:t>
        <w:br/>
        <w:t>• Jurnal: Debit Akun Persediaan WIP | Kredit Akun Persediaan Bahan Baku.</w:t>
      </w:r>
    </w:p>
    <w:p>
      <w:pPr>
        <w:spacing w:before="200" w:after="40"/>
      </w:pPr>
      <w:r>
        <w:rPr>
          <w:rFonts w:ascii="Calibri" w:hAnsi="Calibri"/>
          <w:b/>
          <w:color w:val="1E293B"/>
          <w:sz w:val="24"/>
        </w:rPr>
        <w:t>■ Tahap III: Penyelesaian Produksi &amp; Penerimaan Produk Jadi</w:t>
      </w:r>
    </w:p>
    <w:p>
      <w:pPr>
        <w:spacing w:after="80"/>
      </w:pPr>
      <w:r>
        <w:rPr>
          <w:rFonts w:ascii="Calibri" w:hAnsi="Calibri"/>
          <w:i/>
          <w:sz w:val="20"/>
        </w:rPr>
        <w:t>Fase ini menandai selesainya perakitan meja dan menjadi produk siap jual:</w:t>
      </w:r>
    </w:p>
    <w:p>
      <w:pPr>
        <w:pStyle w:val="ListBullet"/>
        <w:spacing w:before="20" w:after="40"/>
      </w:pPr>
      <w:r>
        <w:rPr>
          <w:rFonts w:ascii="Calibri" w:hAnsi="Calibri"/>
          <w:b/>
          <w:sz w:val="20"/>
        </w:rPr>
        <w:t xml:space="preserve">Stock Entry: Manufacture: </w:t>
      </w:r>
      <w:r>
        <w:rPr>
          <w:rFonts w:ascii="Calibri" w:hAnsi="Calibri"/>
          <w:sz w:val="20"/>
        </w:rPr>
        <w:t>Dibuat saat tombol 'Finish' pada Work Order diklik.</w:t>
      </w:r>
    </w:p>
    <w:p>
      <w:pPr>
        <w:pStyle w:val="ListBullet"/>
        <w:spacing w:before="20" w:after="40"/>
      </w:pPr>
      <w:r>
        <w:rPr>
          <w:rFonts w:ascii="Calibri" w:hAnsi="Calibri"/>
          <w:b/>
          <w:sz w:val="20"/>
        </w:rPr>
        <w:t xml:space="preserve">Konsumsi Bahan Baku: </w:t>
      </w:r>
      <w:r>
        <w:rPr>
          <w:rFonts w:ascii="Calibri" w:hAnsi="Calibri"/>
          <w:sz w:val="20"/>
        </w:rPr>
        <w:t>Sistem secara otomatis menghapus/mengonsumsi saldo bahan yang ada di gudang 'Work In Progress - VD'.</w:t>
      </w:r>
    </w:p>
    <w:p>
      <w:pPr>
        <w:pStyle w:val="ListBullet"/>
        <w:spacing w:before="20" w:after="40"/>
      </w:pPr>
      <w:r>
        <w:rPr>
          <w:rFonts w:ascii="Calibri" w:hAnsi="Calibri"/>
          <w:b/>
          <w:sz w:val="20"/>
        </w:rPr>
        <w:t xml:space="preserve">Penerimaan Barang Jadi: </w:t>
      </w:r>
      <w:r>
        <w:rPr>
          <w:rFonts w:ascii="Calibri" w:hAnsi="Calibri"/>
          <w:sz w:val="20"/>
        </w:rPr>
        <w:t>Sistem otomatis menambahkan produk jadi (FG-MEJA-01) ke dalam gudang 'Finished Goods - VD' sebesar kuantitas yang diproduksi.</w:t>
      </w:r>
    </w:p>
    <w:p>
      <w:pPr>
        <w:pStyle w:val="ListBullet"/>
        <w:spacing w:before="20" w:after="40"/>
      </w:pPr>
      <w:r>
        <w:rPr>
          <w:rFonts w:ascii="Calibri" w:hAnsi="Calibri"/>
          <w:b/>
          <w:sz w:val="20"/>
        </w:rPr>
        <w:t xml:space="preserve">Valuasi Harga Pokok Produksi (HPP): </w:t>
      </w:r>
      <w:r>
        <w:rPr>
          <w:rFonts w:ascii="Calibri" w:hAnsi="Calibri"/>
          <w:sz w:val="20"/>
        </w:rPr>
        <w:t>Nilai stok meja dihitung dari total biaya bahan baku yang diserap sesuai resep BOM (Rp 299.000 per meja).</w:t>
        <w:br/>
        <w:t>• Jurnal: Debit Akun Persediaan Barang Jadi | Kredit Akun Persediaan WIP.</w:t>
      </w:r>
    </w:p>
    <w:p>
      <w:pPr>
        <w:spacing w:before="200" w:after="40"/>
      </w:pPr>
      <w:r>
        <w:rPr>
          <w:rFonts w:ascii="Calibri" w:hAnsi="Calibri"/>
          <w:b/>
          <w:color w:val="1E293B"/>
          <w:sz w:val="24"/>
        </w:rPr>
        <w:t>■ Tahap IV: Pengeluaran Persediaan untuk Penjualan (Outbound Inventory)</w:t>
      </w:r>
    </w:p>
    <w:p>
      <w:pPr>
        <w:spacing w:after="80"/>
      </w:pPr>
      <w:r>
        <w:rPr>
          <w:rFonts w:ascii="Calibri" w:hAnsi="Calibri"/>
          <w:i/>
          <w:sz w:val="20"/>
        </w:rPr>
        <w:t>Fase penyerahan barang jadi kepada pembeli:</w:t>
      </w:r>
    </w:p>
    <w:p>
      <w:pPr>
        <w:pStyle w:val="ListBullet"/>
        <w:spacing w:before="20" w:after="40"/>
      </w:pPr>
      <w:r>
        <w:rPr>
          <w:rFonts w:ascii="Calibri" w:hAnsi="Calibri"/>
          <w:b/>
          <w:sz w:val="20"/>
        </w:rPr>
        <w:t xml:space="preserve">Sales Order: </w:t>
      </w:r>
      <w:r>
        <w:rPr>
          <w:rFonts w:ascii="Calibri" w:hAnsi="Calibri"/>
          <w:sz w:val="20"/>
        </w:rPr>
        <w:t>Konfirmasi pesanan dari pelanggan (misal: CV Sentra Mebel Indonesia).</w:t>
      </w:r>
    </w:p>
    <w:p>
      <w:pPr>
        <w:pStyle w:val="ListBullet"/>
        <w:spacing w:before="20" w:after="40"/>
      </w:pPr>
      <w:r>
        <w:rPr>
          <w:rFonts w:ascii="Calibri" w:hAnsi="Calibri"/>
          <w:b/>
          <w:sz w:val="20"/>
        </w:rPr>
        <w:t xml:space="preserve">Delivery Note (Surat Jalan): </w:t>
      </w:r>
      <w:r>
        <w:rPr>
          <w:rFonts w:ascii="Calibri" w:hAnsi="Calibri"/>
          <w:sz w:val="20"/>
        </w:rPr>
        <w:t>Dokumen utama pengurangan stok produk jadi. Barang dikeluarkan secara resmi dari gudang 'Finished Goods - VD'.</w:t>
      </w:r>
    </w:p>
    <w:p>
      <w:pPr>
        <w:pStyle w:val="ListBullet"/>
        <w:spacing w:before="20" w:after="40"/>
      </w:pPr>
      <w:r>
        <w:rPr>
          <w:rFonts w:ascii="Calibri" w:hAnsi="Calibri"/>
          <w:b/>
          <w:sz w:val="20"/>
        </w:rPr>
        <w:t xml:space="preserve">Pencatatan Beban Pokok Penjualan (COGS): </w:t>
      </w:r>
      <w:r>
        <w:rPr>
          <w:rFonts w:ascii="Calibri" w:hAnsi="Calibri"/>
          <w:sz w:val="20"/>
        </w:rPr>
        <w:t>Saat Delivery Note disubmit, sistem otomatis mengakui biaya barang yang keluar:</w:t>
        <w:br/>
        <w:t>• Debit: Beban Pokok Penjualan / Cost of Goods Sold (COGS)</w:t>
        <w:br/>
        <w:t>• Kredit: Akun Persediaan Barang Jadi (Stock In Hand)</w:t>
      </w:r>
    </w:p>
    <w:p>
      <w:pPr>
        <w:pStyle w:val="ListBullet"/>
        <w:spacing w:before="20" w:after="40"/>
      </w:pPr>
      <w:r>
        <w:rPr>
          <w:rFonts w:ascii="Calibri" w:hAnsi="Calibri"/>
          <w:b/>
          <w:sz w:val="20"/>
        </w:rPr>
        <w:t xml:space="preserve">Sales Invoice &amp; Pembayaran: </w:t>
      </w:r>
      <w:r>
        <w:rPr>
          <w:rFonts w:ascii="Calibri" w:hAnsi="Calibri"/>
          <w:sz w:val="20"/>
        </w:rPr>
        <w:t>Penerbitan faktur tagihan dan pencatatan penerimaan uang kas/bank dari pelanggan.</w:t>
      </w:r>
    </w:p>
    <w:p>
      <w:pPr>
        <w:pStyle w:val="Heading1"/>
        <w:spacing w:before="320" w:after="120"/>
      </w:pPr>
      <w:r>
        <w:rPr>
          <w:rFonts w:ascii="Calibri" w:hAnsi="Calibri"/>
          <w:color w:val="0284C7"/>
          <w:sz w:val="28"/>
        </w:rPr>
        <w:t>3. Matriks Dokumen, Mutasi Gudang, dan Jurnal Persediaan</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0F172A"/>
            <w:tcMar>
              <w:top w:w="100" w:type="dxa"/>
              <w:bottom w:w="100" w:type="dxa"/>
              <w:left w:w="120" w:type="dxa"/>
              <w:right w:w="120" w:type="dxa"/>
            </w:tcMar>
          </w:tcPr>
          <w:p>
            <w:pPr>
              <w:spacing w:before="60" w:after="60"/>
            </w:pPr>
            <w:r>
              <w:rPr>
                <w:rFonts w:ascii="Calibri" w:hAnsi="Calibri"/>
                <w:b/>
                <w:color w:val="FFFFFF"/>
                <w:sz w:val="19"/>
              </w:rPr>
              <w:t>Dokumen ERPNext</w:t>
            </w:r>
          </w:p>
        </w:tc>
        <w:tc>
          <w:tcPr>
            <w:tcW w:type="dxa" w:w="1656"/>
            <w:shd w:fill="0F172A"/>
            <w:tcMar>
              <w:top w:w="100" w:type="dxa"/>
              <w:bottom w:w="100" w:type="dxa"/>
              <w:left w:w="120" w:type="dxa"/>
              <w:right w:w="120" w:type="dxa"/>
            </w:tcMar>
          </w:tcPr>
          <w:p>
            <w:pPr>
              <w:spacing w:before="60" w:after="60"/>
            </w:pPr>
            <w:r>
              <w:rPr>
                <w:rFonts w:ascii="Calibri" w:hAnsi="Calibri"/>
                <w:b/>
                <w:color w:val="FFFFFF"/>
                <w:sz w:val="19"/>
              </w:rPr>
              <w:t>Tipe Transaksi</w:t>
            </w:r>
          </w:p>
        </w:tc>
        <w:tc>
          <w:tcPr>
            <w:tcW w:type="dxa" w:w="1656"/>
            <w:shd w:fill="0F172A"/>
            <w:tcMar>
              <w:top w:w="100" w:type="dxa"/>
              <w:bottom w:w="100" w:type="dxa"/>
              <w:left w:w="120" w:type="dxa"/>
              <w:right w:w="120" w:type="dxa"/>
            </w:tcMar>
          </w:tcPr>
          <w:p>
            <w:pPr>
              <w:spacing w:before="60" w:after="60"/>
            </w:pPr>
            <w:r>
              <w:rPr>
                <w:rFonts w:ascii="Calibri" w:hAnsi="Calibri"/>
                <w:b/>
                <w:color w:val="FFFFFF"/>
                <w:sz w:val="19"/>
              </w:rPr>
              <w:t>Gudang Asal</w:t>
            </w:r>
          </w:p>
        </w:tc>
        <w:tc>
          <w:tcPr>
            <w:tcW w:type="dxa" w:w="1656"/>
            <w:shd w:fill="0F172A"/>
            <w:tcMar>
              <w:top w:w="100" w:type="dxa"/>
              <w:bottom w:w="100" w:type="dxa"/>
              <w:left w:w="120" w:type="dxa"/>
              <w:right w:w="120" w:type="dxa"/>
            </w:tcMar>
          </w:tcPr>
          <w:p>
            <w:pPr>
              <w:spacing w:before="60" w:after="60"/>
            </w:pPr>
            <w:r>
              <w:rPr>
                <w:rFonts w:ascii="Calibri" w:hAnsi="Calibri"/>
                <w:b/>
                <w:color w:val="FFFFFF"/>
                <w:sz w:val="19"/>
              </w:rPr>
              <w:t>Gudang Tujuan</w:t>
            </w:r>
          </w:p>
        </w:tc>
        <w:tc>
          <w:tcPr>
            <w:tcW w:type="dxa" w:w="1656"/>
            <w:shd w:fill="0F172A"/>
            <w:tcMar>
              <w:top w:w="100" w:type="dxa"/>
              <w:bottom w:w="100" w:type="dxa"/>
              <w:left w:w="120" w:type="dxa"/>
              <w:right w:w="120" w:type="dxa"/>
            </w:tcMar>
          </w:tcPr>
          <w:p>
            <w:pPr>
              <w:spacing w:before="60" w:after="60"/>
            </w:pPr>
            <w:r>
              <w:rPr>
                <w:rFonts w:ascii="Calibri" w:hAnsi="Calibri"/>
                <w:b/>
                <w:color w:val="FFFFFF"/>
                <w:sz w:val="19"/>
              </w:rPr>
              <w:t>Mutasi Kuantitas</w:t>
            </w:r>
          </w:p>
        </w:tc>
        <w:tc>
          <w:tcPr>
            <w:tcW w:type="dxa" w:w="1656"/>
            <w:shd w:fill="0F172A"/>
            <w:tcMar>
              <w:top w:w="100" w:type="dxa"/>
              <w:bottom w:w="100" w:type="dxa"/>
              <w:left w:w="120" w:type="dxa"/>
              <w:right w:w="120" w:type="dxa"/>
            </w:tcMar>
          </w:tcPr>
          <w:p>
            <w:pPr>
              <w:spacing w:before="60" w:after="60"/>
            </w:pPr>
            <w:r>
              <w:rPr>
                <w:rFonts w:ascii="Calibri" w:hAnsi="Calibri"/>
                <w:b/>
                <w:color w:val="FFFFFF"/>
                <w:sz w:val="19"/>
              </w:rPr>
              <w:t>Jurnal Akuntansi (Perpetual Inventory)</w:t>
            </w:r>
          </w:p>
        </w:tc>
      </w:tr>
      <w:tr>
        <w:tc>
          <w:tcPr>
            <w:tcW w:type="dxa" w:w="1656"/>
            <w:shd w:fill="FFFFFF"/>
            <w:tcMar>
              <w:top w:w="80" w:type="dxa"/>
              <w:bottom w:w="80" w:type="dxa"/>
              <w:left w:w="120" w:type="dxa"/>
              <w:right w:w="120" w:type="dxa"/>
            </w:tcMar>
          </w:tcPr>
          <w:p>
            <w:pPr>
              <w:spacing w:before="40" w:after="40"/>
            </w:pPr>
            <w:r>
              <w:rPr>
                <w:rFonts w:ascii="Calibri" w:hAnsi="Calibri"/>
                <w:color w:val="1E293B"/>
                <w:sz w:val="18"/>
              </w:rPr>
              <w:t>Purchase Receipt</w:t>
            </w:r>
          </w:p>
        </w:tc>
        <w:tc>
          <w:tcPr>
            <w:tcW w:type="dxa" w:w="1656"/>
            <w:shd w:fill="FFFFFF"/>
            <w:tcMar>
              <w:top w:w="80" w:type="dxa"/>
              <w:bottom w:w="80" w:type="dxa"/>
              <w:left w:w="120" w:type="dxa"/>
              <w:right w:w="120" w:type="dxa"/>
            </w:tcMar>
          </w:tcPr>
          <w:p>
            <w:pPr>
              <w:spacing w:before="40" w:after="40"/>
            </w:pPr>
            <w:r>
              <w:rPr>
                <w:rFonts w:ascii="Calibri" w:hAnsi="Calibri"/>
                <w:color w:val="1E293B"/>
                <w:sz w:val="18"/>
              </w:rPr>
              <w:t>Inbound Pembelian</w:t>
            </w:r>
          </w:p>
        </w:tc>
        <w:tc>
          <w:tcPr>
            <w:tcW w:type="dxa" w:w="1656"/>
            <w:shd w:fill="FFFFFF"/>
            <w:tcMar>
              <w:top w:w="80" w:type="dxa"/>
              <w:bottom w:w="80" w:type="dxa"/>
              <w:left w:w="120" w:type="dxa"/>
              <w:right w:w="120" w:type="dxa"/>
            </w:tcMar>
          </w:tcPr>
          <w:p>
            <w:pPr>
              <w:spacing w:before="40" w:after="40"/>
            </w:pPr>
            <w:r>
              <w:rPr>
                <w:rFonts w:ascii="Calibri" w:hAnsi="Calibri"/>
                <w:color w:val="1E293B"/>
                <w:sz w:val="18"/>
              </w:rPr>
              <w:t>Pemasok Eksternal</w:t>
            </w:r>
          </w:p>
        </w:tc>
        <w:tc>
          <w:tcPr>
            <w:tcW w:type="dxa" w:w="1656"/>
            <w:shd w:fill="FFFFFF"/>
            <w:tcMar>
              <w:top w:w="80" w:type="dxa"/>
              <w:bottom w:w="80" w:type="dxa"/>
              <w:left w:w="120" w:type="dxa"/>
              <w:right w:w="120" w:type="dxa"/>
            </w:tcMar>
          </w:tcPr>
          <w:p>
            <w:pPr>
              <w:spacing w:before="40" w:after="40"/>
            </w:pPr>
            <w:r>
              <w:rPr>
                <w:rFonts w:ascii="Calibri" w:hAnsi="Calibri"/>
                <w:color w:val="1E293B"/>
                <w:sz w:val="18"/>
              </w:rPr>
              <w:t>Stores - VD</w:t>
            </w:r>
          </w:p>
        </w:tc>
        <w:tc>
          <w:tcPr>
            <w:tcW w:type="dxa" w:w="1656"/>
            <w:shd w:fill="FFFFFF"/>
            <w:tcMar>
              <w:top w:w="80" w:type="dxa"/>
              <w:bottom w:w="80" w:type="dxa"/>
              <w:left w:w="120" w:type="dxa"/>
              <w:right w:w="120" w:type="dxa"/>
            </w:tcMar>
          </w:tcPr>
          <w:p>
            <w:pPr>
              <w:spacing w:before="40" w:after="40"/>
            </w:pPr>
            <w:r>
              <w:rPr>
                <w:rFonts w:ascii="Calibri" w:hAnsi="Calibri"/>
                <w:color w:val="1E293B"/>
                <w:sz w:val="18"/>
              </w:rPr>
              <w:t>+ Bahan Baku (RM)</w:t>
            </w:r>
          </w:p>
        </w:tc>
        <w:tc>
          <w:tcPr>
            <w:tcW w:type="dxa" w:w="1656"/>
            <w:shd w:fill="FFFFFF"/>
            <w:tcMar>
              <w:top w:w="80" w:type="dxa"/>
              <w:bottom w:w="80" w:type="dxa"/>
              <w:left w:w="120" w:type="dxa"/>
              <w:right w:w="120" w:type="dxa"/>
            </w:tcMar>
          </w:tcPr>
          <w:p>
            <w:pPr>
              <w:spacing w:before="40" w:after="40"/>
            </w:pPr>
            <w:r>
              <w:rPr>
                <w:rFonts w:ascii="Calibri" w:hAnsi="Calibri"/>
                <w:color w:val="1E293B"/>
                <w:sz w:val="18"/>
              </w:rPr>
              <w:t>Dr. Persediaan Bahan Baku</w:t>
              <w:br/>
              <w:t>Cr. Stock Received But Not Billed</w:t>
            </w:r>
          </w:p>
        </w:tc>
      </w:tr>
      <w:tr>
        <w:tc>
          <w:tcPr>
            <w:tcW w:type="dxa" w:w="1656"/>
            <w:shd w:fill="F8FAFC"/>
            <w:tcMar>
              <w:top w:w="80" w:type="dxa"/>
              <w:bottom w:w="80" w:type="dxa"/>
              <w:left w:w="120" w:type="dxa"/>
              <w:right w:w="120" w:type="dxa"/>
            </w:tcMar>
          </w:tcPr>
          <w:p>
            <w:pPr>
              <w:spacing w:before="40" w:after="40"/>
            </w:pPr>
            <w:r>
              <w:rPr>
                <w:rFonts w:ascii="Calibri" w:hAnsi="Calibri"/>
                <w:color w:val="1E293B"/>
                <w:sz w:val="18"/>
              </w:rPr>
              <w:t>Stock Entry (Transfer)</w:t>
            </w:r>
          </w:p>
        </w:tc>
        <w:tc>
          <w:tcPr>
            <w:tcW w:type="dxa" w:w="1656"/>
            <w:shd w:fill="F8FAFC"/>
            <w:tcMar>
              <w:top w:w="80" w:type="dxa"/>
              <w:bottom w:w="80" w:type="dxa"/>
              <w:left w:w="120" w:type="dxa"/>
              <w:right w:w="120" w:type="dxa"/>
            </w:tcMar>
          </w:tcPr>
          <w:p>
            <w:pPr>
              <w:spacing w:before="40" w:after="40"/>
            </w:pPr>
            <w:r>
              <w:rPr>
                <w:rFonts w:ascii="Calibri" w:hAnsi="Calibri"/>
                <w:color w:val="1E293B"/>
                <w:sz w:val="18"/>
              </w:rPr>
              <w:t>Material Transfer</w:t>
            </w:r>
          </w:p>
        </w:tc>
        <w:tc>
          <w:tcPr>
            <w:tcW w:type="dxa" w:w="1656"/>
            <w:shd w:fill="F8FAFC"/>
            <w:tcMar>
              <w:top w:w="80" w:type="dxa"/>
              <w:bottom w:w="80" w:type="dxa"/>
              <w:left w:w="120" w:type="dxa"/>
              <w:right w:w="120" w:type="dxa"/>
            </w:tcMar>
          </w:tcPr>
          <w:p>
            <w:pPr>
              <w:spacing w:before="40" w:after="40"/>
            </w:pPr>
            <w:r>
              <w:rPr>
                <w:rFonts w:ascii="Calibri" w:hAnsi="Calibri"/>
                <w:color w:val="1E293B"/>
                <w:sz w:val="18"/>
              </w:rPr>
              <w:t>Stores - VD</w:t>
            </w:r>
          </w:p>
        </w:tc>
        <w:tc>
          <w:tcPr>
            <w:tcW w:type="dxa" w:w="1656"/>
            <w:shd w:fill="F8FAFC"/>
            <w:tcMar>
              <w:top w:w="80" w:type="dxa"/>
              <w:bottom w:w="80" w:type="dxa"/>
              <w:left w:w="120" w:type="dxa"/>
              <w:right w:w="120" w:type="dxa"/>
            </w:tcMar>
          </w:tcPr>
          <w:p>
            <w:pPr>
              <w:spacing w:before="40" w:after="40"/>
            </w:pPr>
            <w:r>
              <w:rPr>
                <w:rFonts w:ascii="Calibri" w:hAnsi="Calibri"/>
                <w:color w:val="1E293B"/>
                <w:sz w:val="18"/>
              </w:rPr>
              <w:t>Work In Progress - VD</w:t>
            </w:r>
          </w:p>
        </w:tc>
        <w:tc>
          <w:tcPr>
            <w:tcW w:type="dxa" w:w="1656"/>
            <w:shd w:fill="F8FAFC"/>
            <w:tcMar>
              <w:top w:w="80" w:type="dxa"/>
              <w:bottom w:w="80" w:type="dxa"/>
              <w:left w:w="120" w:type="dxa"/>
              <w:right w:w="120" w:type="dxa"/>
            </w:tcMar>
          </w:tcPr>
          <w:p>
            <w:pPr>
              <w:spacing w:before="40" w:after="40"/>
            </w:pPr>
            <w:r>
              <w:rPr>
                <w:rFonts w:ascii="Calibri" w:hAnsi="Calibri"/>
                <w:color w:val="1E293B"/>
                <w:sz w:val="18"/>
              </w:rPr>
              <w:t>- Stores / + WIP</w:t>
            </w:r>
          </w:p>
        </w:tc>
        <w:tc>
          <w:tcPr>
            <w:tcW w:type="dxa" w:w="1656"/>
            <w:shd w:fill="F8FAFC"/>
            <w:tcMar>
              <w:top w:w="80" w:type="dxa"/>
              <w:bottom w:w="80" w:type="dxa"/>
              <w:left w:w="120" w:type="dxa"/>
              <w:right w:w="120" w:type="dxa"/>
            </w:tcMar>
          </w:tcPr>
          <w:p>
            <w:pPr>
              <w:spacing w:before="40" w:after="40"/>
            </w:pPr>
            <w:r>
              <w:rPr>
                <w:rFonts w:ascii="Calibri" w:hAnsi="Calibri"/>
                <w:color w:val="1E293B"/>
                <w:sz w:val="18"/>
              </w:rPr>
              <w:t>Dr. Persediaan WIP</w:t>
              <w:br/>
              <w:t>Cr. Persediaan Bahan Baku</w:t>
            </w:r>
          </w:p>
        </w:tc>
      </w:tr>
      <w:tr>
        <w:tc>
          <w:tcPr>
            <w:tcW w:type="dxa" w:w="1656"/>
            <w:shd w:fill="FFFFFF"/>
            <w:tcMar>
              <w:top w:w="80" w:type="dxa"/>
              <w:bottom w:w="80" w:type="dxa"/>
              <w:left w:w="120" w:type="dxa"/>
              <w:right w:w="120" w:type="dxa"/>
            </w:tcMar>
          </w:tcPr>
          <w:p>
            <w:pPr>
              <w:spacing w:before="40" w:after="40"/>
            </w:pPr>
            <w:r>
              <w:rPr>
                <w:rFonts w:ascii="Calibri" w:hAnsi="Calibri"/>
                <w:color w:val="1E293B"/>
                <w:sz w:val="18"/>
              </w:rPr>
              <w:t>Stock Entry (Manufacture)</w:t>
            </w:r>
          </w:p>
        </w:tc>
        <w:tc>
          <w:tcPr>
            <w:tcW w:type="dxa" w:w="1656"/>
            <w:shd w:fill="FFFFFF"/>
            <w:tcMar>
              <w:top w:w="80" w:type="dxa"/>
              <w:bottom w:w="80" w:type="dxa"/>
              <w:left w:w="120" w:type="dxa"/>
              <w:right w:w="120" w:type="dxa"/>
            </w:tcMar>
          </w:tcPr>
          <w:p>
            <w:pPr>
              <w:spacing w:before="40" w:after="40"/>
            </w:pPr>
            <w:r>
              <w:rPr>
                <w:rFonts w:ascii="Calibri" w:hAnsi="Calibri"/>
                <w:color w:val="1E293B"/>
                <w:sz w:val="18"/>
              </w:rPr>
              <w:t>Penyelesaian Produksi</w:t>
            </w:r>
          </w:p>
        </w:tc>
        <w:tc>
          <w:tcPr>
            <w:tcW w:type="dxa" w:w="1656"/>
            <w:shd w:fill="FFFFFF"/>
            <w:tcMar>
              <w:top w:w="80" w:type="dxa"/>
              <w:bottom w:w="80" w:type="dxa"/>
              <w:left w:w="120" w:type="dxa"/>
              <w:right w:w="120" w:type="dxa"/>
            </w:tcMar>
          </w:tcPr>
          <w:p>
            <w:pPr>
              <w:spacing w:before="40" w:after="40"/>
            </w:pPr>
            <w:r>
              <w:rPr>
                <w:rFonts w:ascii="Calibri" w:hAnsi="Calibri"/>
                <w:color w:val="1E293B"/>
                <w:sz w:val="18"/>
              </w:rPr>
              <w:t>Work In Progress - VD</w:t>
            </w:r>
          </w:p>
        </w:tc>
        <w:tc>
          <w:tcPr>
            <w:tcW w:type="dxa" w:w="1656"/>
            <w:shd w:fill="FFFFFF"/>
            <w:tcMar>
              <w:top w:w="80" w:type="dxa"/>
              <w:bottom w:w="80" w:type="dxa"/>
              <w:left w:w="120" w:type="dxa"/>
              <w:right w:w="120" w:type="dxa"/>
            </w:tcMar>
          </w:tcPr>
          <w:p>
            <w:pPr>
              <w:spacing w:before="40" w:after="40"/>
            </w:pPr>
            <w:r>
              <w:rPr>
                <w:rFonts w:ascii="Calibri" w:hAnsi="Calibri"/>
                <w:color w:val="1E293B"/>
                <w:sz w:val="18"/>
              </w:rPr>
              <w:t>Finished Goods - VD</w:t>
            </w:r>
          </w:p>
        </w:tc>
        <w:tc>
          <w:tcPr>
            <w:tcW w:type="dxa" w:w="1656"/>
            <w:shd w:fill="FFFFFF"/>
            <w:tcMar>
              <w:top w:w="80" w:type="dxa"/>
              <w:bottom w:w="80" w:type="dxa"/>
              <w:left w:w="120" w:type="dxa"/>
              <w:right w:w="120" w:type="dxa"/>
            </w:tcMar>
          </w:tcPr>
          <w:p>
            <w:pPr>
              <w:spacing w:before="40" w:after="40"/>
            </w:pPr>
            <w:r>
              <w:rPr>
                <w:rFonts w:ascii="Calibri" w:hAnsi="Calibri"/>
                <w:color w:val="1E293B"/>
                <w:sz w:val="18"/>
              </w:rPr>
              <w:t>- WIP / + Produk Jadi (FG)</w:t>
            </w:r>
          </w:p>
        </w:tc>
        <w:tc>
          <w:tcPr>
            <w:tcW w:type="dxa" w:w="1656"/>
            <w:shd w:fill="FFFFFF"/>
            <w:tcMar>
              <w:top w:w="80" w:type="dxa"/>
              <w:bottom w:w="80" w:type="dxa"/>
              <w:left w:w="120" w:type="dxa"/>
              <w:right w:w="120" w:type="dxa"/>
            </w:tcMar>
          </w:tcPr>
          <w:p>
            <w:pPr>
              <w:spacing w:before="40" w:after="40"/>
            </w:pPr>
            <w:r>
              <w:rPr>
                <w:rFonts w:ascii="Calibri" w:hAnsi="Calibri"/>
                <w:color w:val="1E293B"/>
                <w:sz w:val="18"/>
              </w:rPr>
              <w:t>Dr. Persediaan Barang Jadi</w:t>
              <w:br/>
              <w:t>Cr. Persediaan WIP</w:t>
            </w:r>
          </w:p>
        </w:tc>
      </w:tr>
      <w:tr>
        <w:tc>
          <w:tcPr>
            <w:tcW w:type="dxa" w:w="1656"/>
            <w:shd w:fill="F8FAFC"/>
            <w:tcMar>
              <w:top w:w="80" w:type="dxa"/>
              <w:bottom w:w="80" w:type="dxa"/>
              <w:left w:w="120" w:type="dxa"/>
              <w:right w:w="120" w:type="dxa"/>
            </w:tcMar>
          </w:tcPr>
          <w:p>
            <w:pPr>
              <w:spacing w:before="40" w:after="40"/>
            </w:pPr>
            <w:r>
              <w:rPr>
                <w:rFonts w:ascii="Calibri" w:hAnsi="Calibri"/>
                <w:color w:val="1E293B"/>
                <w:sz w:val="18"/>
              </w:rPr>
              <w:t>Delivery Note</w:t>
            </w:r>
          </w:p>
        </w:tc>
        <w:tc>
          <w:tcPr>
            <w:tcW w:type="dxa" w:w="1656"/>
            <w:shd w:fill="F8FAFC"/>
            <w:tcMar>
              <w:top w:w="80" w:type="dxa"/>
              <w:bottom w:w="80" w:type="dxa"/>
              <w:left w:w="120" w:type="dxa"/>
              <w:right w:w="120" w:type="dxa"/>
            </w:tcMar>
          </w:tcPr>
          <w:p>
            <w:pPr>
              <w:spacing w:before="40" w:after="40"/>
            </w:pPr>
            <w:r>
              <w:rPr>
                <w:rFonts w:ascii="Calibri" w:hAnsi="Calibri"/>
                <w:color w:val="1E293B"/>
                <w:sz w:val="18"/>
              </w:rPr>
              <w:t>Outbound Penjualan</w:t>
            </w:r>
          </w:p>
        </w:tc>
        <w:tc>
          <w:tcPr>
            <w:tcW w:type="dxa" w:w="1656"/>
            <w:shd w:fill="F8FAFC"/>
            <w:tcMar>
              <w:top w:w="80" w:type="dxa"/>
              <w:bottom w:w="80" w:type="dxa"/>
              <w:left w:w="120" w:type="dxa"/>
              <w:right w:w="120" w:type="dxa"/>
            </w:tcMar>
          </w:tcPr>
          <w:p>
            <w:pPr>
              <w:spacing w:before="40" w:after="40"/>
            </w:pPr>
            <w:r>
              <w:rPr>
                <w:rFonts w:ascii="Calibri" w:hAnsi="Calibri"/>
                <w:color w:val="1E293B"/>
                <w:sz w:val="18"/>
              </w:rPr>
              <w:t>Finished Goods - VD</w:t>
            </w:r>
          </w:p>
        </w:tc>
        <w:tc>
          <w:tcPr>
            <w:tcW w:type="dxa" w:w="1656"/>
            <w:shd w:fill="F8FAFC"/>
            <w:tcMar>
              <w:top w:w="80" w:type="dxa"/>
              <w:bottom w:w="80" w:type="dxa"/>
              <w:left w:w="120" w:type="dxa"/>
              <w:right w:w="120" w:type="dxa"/>
            </w:tcMar>
          </w:tcPr>
          <w:p>
            <w:pPr>
              <w:spacing w:before="40" w:after="40"/>
            </w:pPr>
            <w:r>
              <w:rPr>
                <w:rFonts w:ascii="Calibri" w:hAnsi="Calibri"/>
                <w:color w:val="1E293B"/>
                <w:sz w:val="18"/>
              </w:rPr>
              <w:t>Pelanggan Eksternal</w:t>
            </w:r>
          </w:p>
        </w:tc>
        <w:tc>
          <w:tcPr>
            <w:tcW w:type="dxa" w:w="1656"/>
            <w:shd w:fill="F8FAFC"/>
            <w:tcMar>
              <w:top w:w="80" w:type="dxa"/>
              <w:bottom w:w="80" w:type="dxa"/>
              <w:left w:w="120" w:type="dxa"/>
              <w:right w:w="120" w:type="dxa"/>
            </w:tcMar>
          </w:tcPr>
          <w:p>
            <w:pPr>
              <w:spacing w:before="40" w:after="40"/>
            </w:pPr>
            <w:r>
              <w:rPr>
                <w:rFonts w:ascii="Calibri" w:hAnsi="Calibri"/>
                <w:color w:val="1E293B"/>
                <w:sz w:val="18"/>
              </w:rPr>
              <w:t>- Produk Jadi (FG)</w:t>
            </w:r>
          </w:p>
        </w:tc>
        <w:tc>
          <w:tcPr>
            <w:tcW w:type="dxa" w:w="1656"/>
            <w:shd w:fill="F8FAFC"/>
            <w:tcMar>
              <w:top w:w="80" w:type="dxa"/>
              <w:bottom w:w="80" w:type="dxa"/>
              <w:left w:w="120" w:type="dxa"/>
              <w:right w:w="120" w:type="dxa"/>
            </w:tcMar>
          </w:tcPr>
          <w:p>
            <w:pPr>
              <w:spacing w:before="40" w:after="40"/>
            </w:pPr>
            <w:r>
              <w:rPr>
                <w:rFonts w:ascii="Calibri" w:hAnsi="Calibri"/>
                <w:color w:val="1E293B"/>
                <w:sz w:val="18"/>
              </w:rPr>
              <w:t>Dr. Beban Pokok Penjualan (HPP/COGS)</w:t>
              <w:br/>
              <w:t>Cr. Persediaan Barang Jadi</w:t>
            </w:r>
          </w:p>
        </w:tc>
      </w:tr>
      <w:tr>
        <w:tc>
          <w:tcPr>
            <w:tcW w:type="dxa" w:w="1656"/>
            <w:shd w:fill="FFFFFF"/>
            <w:tcMar>
              <w:top w:w="80" w:type="dxa"/>
              <w:bottom w:w="80" w:type="dxa"/>
              <w:left w:w="120" w:type="dxa"/>
              <w:right w:w="120" w:type="dxa"/>
            </w:tcMar>
          </w:tcPr>
          <w:p>
            <w:pPr>
              <w:spacing w:before="40" w:after="40"/>
            </w:pPr>
            <w:r>
              <w:rPr>
                <w:rFonts w:ascii="Calibri" w:hAnsi="Calibri"/>
                <w:color w:val="1E293B"/>
                <w:sz w:val="18"/>
              </w:rPr>
              <w:t>Stock Reconciliation</w:t>
            </w:r>
          </w:p>
        </w:tc>
        <w:tc>
          <w:tcPr>
            <w:tcW w:type="dxa" w:w="1656"/>
            <w:shd w:fill="FFFFFF"/>
            <w:tcMar>
              <w:top w:w="80" w:type="dxa"/>
              <w:bottom w:w="80" w:type="dxa"/>
              <w:left w:w="120" w:type="dxa"/>
              <w:right w:w="120" w:type="dxa"/>
            </w:tcMar>
          </w:tcPr>
          <w:p>
            <w:pPr>
              <w:spacing w:before="40" w:after="40"/>
            </w:pPr>
            <w:r>
              <w:rPr>
                <w:rFonts w:ascii="Calibri" w:hAnsi="Calibri"/>
                <w:color w:val="1E293B"/>
                <w:sz w:val="18"/>
              </w:rPr>
              <w:t>Penyesuaian Fisik</w:t>
            </w:r>
          </w:p>
        </w:tc>
        <w:tc>
          <w:tcPr>
            <w:tcW w:type="dxa" w:w="1656"/>
            <w:shd w:fill="FFFFFF"/>
            <w:tcMar>
              <w:top w:w="80" w:type="dxa"/>
              <w:bottom w:w="80" w:type="dxa"/>
              <w:left w:w="120" w:type="dxa"/>
              <w:right w:w="120" w:type="dxa"/>
            </w:tcMar>
          </w:tcPr>
          <w:p>
            <w:pPr>
              <w:spacing w:before="40" w:after="40"/>
            </w:pPr>
            <w:r>
              <w:rPr>
                <w:rFonts w:ascii="Calibri" w:hAnsi="Calibri"/>
                <w:color w:val="1E293B"/>
                <w:sz w:val="18"/>
              </w:rPr>
              <w:t>Semua Gudang</w:t>
            </w:r>
          </w:p>
        </w:tc>
        <w:tc>
          <w:tcPr>
            <w:tcW w:type="dxa" w:w="1656"/>
            <w:shd w:fill="FFFFFF"/>
            <w:tcMar>
              <w:top w:w="80" w:type="dxa"/>
              <w:bottom w:w="80" w:type="dxa"/>
              <w:left w:w="120" w:type="dxa"/>
              <w:right w:w="120" w:type="dxa"/>
            </w:tcMar>
          </w:tcPr>
          <w:p>
            <w:pPr>
              <w:spacing w:before="40" w:after="40"/>
            </w:pPr>
            <w:r>
              <w:rPr>
                <w:rFonts w:ascii="Calibri" w:hAnsi="Calibri"/>
                <w:color w:val="1E293B"/>
                <w:sz w:val="18"/>
              </w:rPr>
              <w:t>Semua Gudang</w:t>
            </w:r>
          </w:p>
        </w:tc>
        <w:tc>
          <w:tcPr>
            <w:tcW w:type="dxa" w:w="1656"/>
            <w:shd w:fill="FFFFFF"/>
            <w:tcMar>
              <w:top w:w="80" w:type="dxa"/>
              <w:bottom w:w="80" w:type="dxa"/>
              <w:left w:w="120" w:type="dxa"/>
              <w:right w:w="120" w:type="dxa"/>
            </w:tcMar>
          </w:tcPr>
          <w:p>
            <w:pPr>
              <w:spacing w:before="40" w:after="40"/>
            </w:pPr>
            <w:r>
              <w:rPr>
                <w:rFonts w:ascii="Calibri" w:hAnsi="Calibri"/>
                <w:color w:val="1E293B"/>
                <w:sz w:val="18"/>
              </w:rPr>
              <w:t>Koreksi Fisik (+ / -)</w:t>
            </w:r>
          </w:p>
        </w:tc>
        <w:tc>
          <w:tcPr>
            <w:tcW w:type="dxa" w:w="1656"/>
            <w:shd w:fill="FFFFFF"/>
            <w:tcMar>
              <w:top w:w="80" w:type="dxa"/>
              <w:bottom w:w="80" w:type="dxa"/>
              <w:left w:w="120" w:type="dxa"/>
              <w:right w:w="120" w:type="dxa"/>
            </w:tcMar>
          </w:tcPr>
          <w:p>
            <w:pPr>
              <w:spacing w:before="40" w:after="40"/>
            </w:pPr>
            <w:r>
              <w:rPr>
                <w:rFonts w:ascii="Calibri" w:hAnsi="Calibri"/>
                <w:color w:val="1E293B"/>
                <w:sz w:val="18"/>
              </w:rPr>
              <w:t>Dr/Cr. Penyesuaian Persediaan (Stock Adjustment)</w:t>
              <w:br/>
              <w:t>Cr/Dr. Akun Persediaan Terkait</w:t>
            </w:r>
          </w:p>
        </w:tc>
      </w:tr>
    </w:tbl>
    <w:p>
      <w:pPr>
        <w:pStyle w:val="Heading1"/>
        <w:spacing w:before="320" w:after="120"/>
      </w:pPr>
      <w:r>
        <w:rPr>
          <w:rFonts w:ascii="Calibri" w:hAnsi="Calibri"/>
          <w:color w:val="0284C7"/>
          <w:sz w:val="28"/>
        </w:rPr>
        <w:t>4. Laporan &amp; Pengendalian Persediaan di ERPNext</w:t>
      </w:r>
    </w:p>
    <w:p>
      <w:pPr>
        <w:pStyle w:val="ListBullet"/>
        <w:spacing w:before="40" w:after="40"/>
      </w:pPr>
      <w:r>
        <w:rPr>
          <w:rFonts w:ascii="Calibri" w:hAnsi="Calibri"/>
          <w:b/>
          <w:sz w:val="20"/>
        </w:rPr>
        <w:t xml:space="preserve">Stock Ledger (Buku Besar Stok / Kartu Stok): </w:t>
      </w:r>
      <w:r>
        <w:rPr>
          <w:rFonts w:ascii="Calibri" w:hAnsi="Calibri"/>
          <w:sz w:val="20"/>
        </w:rPr>
        <w:t>Menampilkan seluruh riwayat kronologis pergerakan kuantitas masuk, keluar, dan saldo berjalan setiap item barang di masing-masing gudang, beserta nilai perolehannya berdasarkan metode FIFO (First In First Out).</w:t>
      </w:r>
    </w:p>
    <w:p>
      <w:pPr>
        <w:pStyle w:val="ListBullet"/>
        <w:spacing w:before="40" w:after="40"/>
      </w:pPr>
      <w:r>
        <w:rPr>
          <w:rFonts w:ascii="Calibri" w:hAnsi="Calibri"/>
          <w:b/>
          <w:sz w:val="20"/>
        </w:rPr>
        <w:t xml:space="preserve">Stock Balance (Laporan Saldo Persediaan): </w:t>
      </w:r>
      <w:r>
        <w:rPr>
          <w:rFonts w:ascii="Calibri" w:hAnsi="Calibri"/>
          <w:sz w:val="20"/>
        </w:rPr>
        <w:t>Menampilkan posisi kuantitas dan nilai uang persediaan yang ada saat ini secara terperinci per gudang (Gudang Bahan Baku, WIP, dan Barang Jadi).</w:t>
      </w:r>
    </w:p>
    <w:p>
      <w:pPr>
        <w:pStyle w:val="ListBullet"/>
        <w:spacing w:before="40" w:after="40"/>
      </w:pPr>
      <w:r>
        <w:rPr>
          <w:rFonts w:ascii="Calibri" w:hAnsi="Calibri"/>
          <w:b/>
          <w:sz w:val="20"/>
        </w:rPr>
        <w:t xml:space="preserve">Stock Projected Quantity: </w:t>
      </w:r>
      <w:r>
        <w:rPr>
          <w:rFonts w:ascii="Calibri" w:hAnsi="Calibri"/>
          <w:sz w:val="20"/>
        </w:rPr>
        <w:t>Membantu bagian perencanaan dan pengadaan untuk melihat stok aktual, stok yang sudah dipesan dalam PO, stok yang sedang dirakit dalam Work Order, serta stok yang sudah dijanjikan kepada pelanggan (Reserved for Sales).</w:t>
      </w:r>
    </w:p>
    <w:p>
      <w:pPr>
        <w:pStyle w:val="ListBullet"/>
        <w:spacing w:before="40" w:after="40"/>
      </w:pPr>
      <w:r>
        <w:rPr>
          <w:rFonts w:ascii="Calibri" w:hAnsi="Calibri"/>
          <w:b/>
          <w:sz w:val="20"/>
        </w:rPr>
        <w:t xml:space="preserve">Stock Ageing Report: </w:t>
      </w:r>
      <w:r>
        <w:rPr>
          <w:rFonts w:ascii="Calibri" w:hAnsi="Calibri"/>
          <w:sz w:val="20"/>
        </w:rPr>
        <w:t>Mengetahui umur penyimpanan bahan baku dan produk jadi guna menghindari kerusakan material atau barang menumpuk terlalu lama (dead stock).</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