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F9DC3" w14:textId="77777777" w:rsidR="00640BA5" w:rsidRDefault="00640BA5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y Cierre: Especificaciones del Proyecto Vida Saludable (Fase 2)</w:t>
      </w:r>
    </w:p>
    <w:p w14:paraId="015449FD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19A72409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3C1E3ECB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6F5BC8B3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General del Repositorio:</w:t>
      </w:r>
      <w:r>
        <w:rPr>
          <w:rFonts w:ascii="Calibri" w:hAnsi="Calibri" w:cs="Calibri"/>
          <w:sz w:val="22"/>
          <w:szCs w:val="22"/>
        </w:rPr>
        <w:t xml:space="preserve"> Pausa Administrativa Congelada (Release-Ready)</w:t>
      </w:r>
    </w:p>
    <w:p w14:paraId="2F2F602F" w14:textId="77777777" w:rsidR="00640BA5" w:rsidRDefault="00640BA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15390AD">
          <v:rect id="_x0000_i1025" style="width:0;height:1.5pt" o:hralign="center" o:hrstd="t" o:hr="t" fillcolor="#a0a0a0" stroked="f"/>
        </w:pict>
      </w:r>
    </w:p>
    <w:p w14:paraId="4789A6F1" w14:textId="77777777" w:rsidR="00640BA5" w:rsidRDefault="00640BA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del Proyecto</w:t>
      </w:r>
    </w:p>
    <w:p w14:paraId="06D64A6A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tiene el objetivo de servir como </w:t>
      </w:r>
      <w:r>
        <w:rPr>
          <w:rStyle w:val="Fuerte"/>
          <w:rFonts w:ascii="Calibri" w:hAnsi="Calibri" w:cs="Calibri"/>
          <w:sz w:val="22"/>
          <w:szCs w:val="22"/>
        </w:rPr>
        <w:t>Acta Forense de Entrega Tecnológica</w:t>
      </w:r>
      <w:r>
        <w:rPr>
          <w:rFonts w:ascii="Calibri" w:hAnsi="Calibri" w:cs="Calibri"/>
          <w:sz w:val="22"/>
          <w:szCs w:val="22"/>
        </w:rPr>
        <w:t xml:space="preserve"> para el repositorio institucional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. Constituye un resguardo integral del esfuerzo técnico vertido a lo largo del segundo trimestre de 2026 (abril, mayo y junio) en el diseño, desarrollo, migración y blindaje cibernético de la denominada "Fase 2" del sistema orquestador. </w:t>
      </w:r>
    </w:p>
    <w:p w14:paraId="65F17655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se entrega al equipo sucesor en un estado de </w:t>
      </w:r>
      <w:r>
        <w:rPr>
          <w:rStyle w:val="Fuerte"/>
          <w:rFonts w:ascii="Calibri" w:hAnsi="Calibri" w:cs="Calibri"/>
          <w:sz w:val="22"/>
          <w:szCs w:val="22"/>
        </w:rPr>
        <w:t>congelamiento funcional prístino</w:t>
      </w:r>
      <w:r>
        <w:rPr>
          <w:rFonts w:ascii="Calibri" w:hAnsi="Calibri" w:cs="Calibri"/>
          <w:sz w:val="22"/>
          <w:szCs w:val="22"/>
        </w:rPr>
        <w:t>, con una línea base inquebrantable aprobada mediante exhaustivas auditorías de seguridad y ciclos de validación E2E (*End-to-End*). La robustez arquitectónica depositada garantiza que, una vez que la Secretaría autorice el des-congelamiento del proyecto, el *Sprint 1* podrá arrancarse sin fricción tecnológica alguna, gozando de una plataforma resiliente y auditada.</w:t>
      </w:r>
    </w:p>
    <w:p w14:paraId="7B559310" w14:textId="77777777" w:rsidR="00640BA5" w:rsidRDefault="00640BA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DE1E634">
          <v:rect id="_x0000_i1026" style="width:0;height:1.5pt" o:hralign="center" o:hrstd="t" o:hr="t" fillcolor="#a0a0a0" stroked="f"/>
        </w:pict>
      </w:r>
    </w:p>
    <w:p w14:paraId="1CF7B424" w14:textId="77777777" w:rsidR="00640BA5" w:rsidRDefault="00640BA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Evolución Arquitectónica (De Monolito a "Zero Persistence")</w:t>
      </w:r>
    </w:p>
    <w:p w14:paraId="65C68F22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hacia la Fase 2 en la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eliminó progresivamente el código legado de la Fase 1 (caracterizada por procesamientos en consola inseguros y sin transaccionalidad). La nueva arquitectura que hoy se transfiere opera bajo los siguientes estandartes técnicos:</w:t>
      </w:r>
    </w:p>
    <w:p w14:paraId="0D6E0530" w14:textId="77777777" w:rsidR="00640BA5" w:rsidRDefault="00640BA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Pila Tecnológica Entregada</w:t>
      </w:r>
    </w:p>
    <w:p w14:paraId="50C9C340" w14:textId="77777777" w:rsidR="00640BA5" w:rsidRDefault="00640BA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Backend Asíncrono de Orquestación:</w:t>
      </w:r>
      <w:r>
        <w:rPr>
          <w:rFonts w:ascii="Calibri" w:eastAsia="Times New Roman" w:hAnsi="Calibri" w:cs="Calibri"/>
          <w:sz w:val="22"/>
          <w:szCs w:val="22"/>
        </w:rPr>
        <w:t xml:space="preserve"> Orquestado sobre </w:t>
      </w:r>
      <w:r>
        <w:rPr>
          <w:rStyle w:val="Fuerte"/>
          <w:rFonts w:ascii="Calibri" w:eastAsia="Times New Roman" w:hAnsi="Calibri" w:cs="Calibri"/>
          <w:sz w:val="22"/>
          <w:szCs w:val="22"/>
        </w:rPr>
        <w:t>Python 3.14 con FastAPI</w:t>
      </w:r>
      <w:r>
        <w:rPr>
          <w:rFonts w:ascii="Calibri" w:eastAsia="Times New Roman" w:hAnsi="Calibri" w:cs="Calibri"/>
          <w:sz w:val="22"/>
          <w:szCs w:val="22"/>
        </w:rPr>
        <w:t xml:space="preserve">, lo cual permite administrar la saturación de los servidores web del IMSS limitando la ráfaga de descargas mediante un riguroso </w:t>
      </w:r>
      <w:r>
        <w:rPr>
          <w:rStyle w:val="CdigoHTML"/>
        </w:rPr>
        <w:t>ThreadPoolExecutor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7544CA8" w14:textId="77777777" w:rsidR="00640BA5" w:rsidRDefault="00640BA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lastRenderedPageBreak/>
        <w:t>Motor de Consultas Unificado (GraphQL):</w:t>
      </w:r>
      <w:r>
        <w:rPr>
          <w:rFonts w:ascii="Calibri" w:eastAsia="Times New Roman" w:hAnsi="Calibri" w:cs="Calibri"/>
          <w:sz w:val="22"/>
          <w:szCs w:val="22"/>
        </w:rPr>
        <w:t xml:space="preserve"> Despliegue del motor </w:t>
      </w:r>
      <w:r>
        <w:rPr>
          <w:rStyle w:val="Fuerte"/>
          <w:rFonts w:ascii="Calibri" w:eastAsia="Times New Roman" w:hAnsi="Calibri" w:cs="Calibri"/>
          <w:sz w:val="22"/>
          <w:szCs w:val="22"/>
        </w:rPr>
        <w:t>Strawberry GraphQL</w:t>
      </w:r>
      <w:r>
        <w:rPr>
          <w:rFonts w:ascii="Calibri" w:eastAsia="Times New Roman" w:hAnsi="Calibri" w:cs="Calibri"/>
          <w:sz w:val="22"/>
          <w:szCs w:val="22"/>
        </w:rPr>
        <w:t>, eliminando las interfaces REST dispares y garantizando un control estricto sobre el *Over-fetching* de datos (solucionando las fugas de información masiva).</w:t>
      </w:r>
    </w:p>
    <w:p w14:paraId="280DC424" w14:textId="77777777" w:rsidR="00640BA5" w:rsidRDefault="00640BA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Consistencia Transaccional (ACID):</w:t>
      </w:r>
      <w:r>
        <w:rPr>
          <w:rFonts w:ascii="Calibri" w:eastAsia="Times New Roman" w:hAnsi="Calibri" w:cs="Calibri"/>
          <w:sz w:val="22"/>
          <w:szCs w:val="22"/>
        </w:rPr>
        <w:t xml:space="preserve"> Migración del guardado en CSV plano a la infraestructura madura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PostgreSQL 14</w:t>
      </w:r>
      <w:r>
        <w:rPr>
          <w:rFonts w:ascii="Calibri" w:eastAsia="Times New Roman" w:hAnsi="Calibri" w:cs="Calibri"/>
          <w:sz w:val="22"/>
          <w:szCs w:val="22"/>
        </w:rPr>
        <w:t xml:space="preserve">, orquestado vía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  <w:sz w:val="22"/>
          <w:szCs w:val="22"/>
        </w:rPr>
        <w:t xml:space="preserve"> (Driver puro de Python) para blindar la lectura y evitar bloqueos en tablas críticas como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332A5D44" w14:textId="77777777" w:rsidR="00640BA5" w:rsidRDefault="00640BA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Integral del Flujo Orquestador (Handover de Procesos)</w:t>
      </w:r>
    </w:p>
    <w:p w14:paraId="7B48B86A" w14:textId="77777777" w:rsidR="00640BA5" w:rsidRDefault="00640BA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noProof/>
          <w:sz w:val="22"/>
          <w:szCs w:val="22"/>
        </w:rPr>
        <w:lastRenderedPageBreak/>
        <w:drawing>
          <wp:inline distT="0" distB="0" distL="0" distR="0" wp14:anchorId="5E496348" wp14:editId="4072B96B">
            <wp:extent cx="7741920" cy="159105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1920" cy="159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7BBFC" w14:textId="77777777" w:rsidR="00640BA5" w:rsidRDefault="00640BA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C4005CE">
          <v:rect id="_x0000_i1028" style="width:0;height:1.5pt" o:hralign="center" o:hrstd="t" o:hr="t" fillcolor="#a0a0a0" stroked="f"/>
        </w:pict>
      </w:r>
    </w:p>
    <w:p w14:paraId="02538798" w14:textId="77777777" w:rsidR="00640BA5" w:rsidRDefault="00640BA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Matriz de Layouts de Operación Transaccional</w:t>
      </w:r>
    </w:p>
    <w:p w14:paraId="59858BEA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lo largo del proyecto, la inyección y limpieza de datos fueron normalizadas estableciendo reglas de oro para la curación de información. Los documentos entregados para la alimentación masiva (*Layouts*) se dividen en tres universos mutuamente excluyentes, los cuales deben ser manejados por el equipo receptor: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1"/>
        <w:gridCol w:w="1484"/>
        <w:gridCol w:w="2006"/>
        <w:gridCol w:w="1791"/>
      </w:tblGrid>
      <w:tr w:rsidR="00000000" w14:paraId="3915BC2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55649A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15B90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Finalidad (Gobernanza)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226148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Condicionantes de Seguridad (Constraints SQL)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FAC2F4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Flujo Asignado</w:t>
            </w:r>
          </w:p>
        </w:tc>
      </w:tr>
      <w:tr w:rsidR="00000000" w14:paraId="2A21F2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E099F0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LayMenorEvaluado.csv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7E3745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Poblar Universo Base de Alumnos.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1B3CEA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curp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(Único 18 Chars), </w:t>
            </w:r>
            <w:r>
              <w:rPr>
                <w:rStyle w:val="CdigoHTML"/>
              </w:rPr>
              <w:t>cct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(Obligatorio 10 Chars).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FCB7BE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El orquestador toma a todos estos sujetos e inicia el *Thread pool* iterativo para las descargas de dictamen IMSS.</w:t>
            </w:r>
          </w:p>
        </w:tc>
      </w:tr>
      <w:tr w:rsidR="00000000" w14:paraId="2295CE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24916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MENORES_SIN_PADECIMIENTO.csv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6AD804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Filtro de Exclusión Positiva.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EDD137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curp_hash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. Solo se almacenan los hashes.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801AED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Al cruzarse con el padrón, los excluye de la generación de la carta invitación. (No requieren ir a clínica).</w:t>
            </w:r>
          </w:p>
        </w:tc>
      </w:tr>
      <w:tr w:rsidR="00000000" w14:paraId="6DE6AA8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BDDCC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IMSS_Diagnostico.json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8CBF3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Filtro de Exclusión de Seguimiento.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E5183E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nss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r>
              <w:rPr>
                <w:rStyle w:val="CdigoHTML"/>
              </w:rPr>
              <w:t>folio_atencion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E0032D" w14:textId="77777777" w:rsidR="00640BA5" w:rsidRDefault="00640BA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Menores que, aunque tenían padecimiento, ya generaron historia clínica en el IMSS. Son excluidos para evitar re-enviar la carta.</w:t>
            </w:r>
          </w:p>
        </w:tc>
      </w:tr>
    </w:tbl>
    <w:p w14:paraId="45295E21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&gt; [!WARNING]</w:t>
      </w:r>
    </w:p>
    <w:p w14:paraId="5F0CE457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&gt; </w:t>
      </w:r>
      <w:r>
        <w:rPr>
          <w:rStyle w:val="Fuerte"/>
          <w:rFonts w:ascii="Calibri" w:hAnsi="Calibri" w:cs="Calibri"/>
          <w:sz w:val="22"/>
          <w:szCs w:val="22"/>
        </w:rPr>
        <w:t>Aviso Crítico a Operaciones:</w:t>
      </w:r>
      <w:r>
        <w:rPr>
          <w:rFonts w:ascii="Calibri" w:hAnsi="Calibri" w:cs="Calibri"/>
          <w:sz w:val="22"/>
          <w:szCs w:val="22"/>
        </w:rPr>
        <w:t xml:space="preserve"> Se debe purgar periódicamente el historial de </w:t>
      </w:r>
      <w:r>
        <w:rPr>
          <w:rStyle w:val="CdigoHTML"/>
        </w:rPr>
        <w:t>LayMenorEvaluado.csv</w:t>
      </w:r>
      <w:r>
        <w:rPr>
          <w:rFonts w:ascii="Calibri" w:hAnsi="Calibri" w:cs="Calibri"/>
          <w:sz w:val="22"/>
          <w:szCs w:val="22"/>
        </w:rPr>
        <w:t xml:space="preserve"> en el entorno productivo post-procesamiento. Su permanencia indefinida transgrede normativas de PII al almacenar archivos planos no encriptados.</w:t>
      </w:r>
    </w:p>
    <w:p w14:paraId="0CA0BAF8" w14:textId="77777777" w:rsidR="00640BA5" w:rsidRDefault="00640BA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F2B71B4">
          <v:rect id="_x0000_i1029" style="width:0;height:1.5pt" o:hralign="center" o:hrstd="t" o:hr="t" fillcolor="#a0a0a0" stroked="f"/>
        </w:pict>
      </w:r>
    </w:p>
    <w:p w14:paraId="0D317C03" w14:textId="77777777" w:rsidR="00640BA5" w:rsidRDefault="00640BA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Resolución de Vulnerabilidades y Mitigaciones Críticas (RCA)</w:t>
      </w:r>
    </w:p>
    <w:p w14:paraId="3E6F303E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patrimonio má</w:t>
      </w:r>
      <w:r>
        <w:rPr>
          <w:rFonts w:ascii="Calibri" w:hAnsi="Calibri" w:cs="Calibri"/>
          <w:sz w:val="22"/>
          <w:szCs w:val="22"/>
        </w:rPr>
        <w:t>s valioso que se entrega radica en la resolución forense de 3 enormes brechas de seguridad identificadas en mayo y corregidas a lo largo de junio. A continuación, el acta de remediación:</w:t>
      </w:r>
    </w:p>
    <w:p w14:paraId="4A9A9A5B" w14:textId="77777777" w:rsidR="00640BA5" w:rsidRDefault="00640BA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Resolución Issue #61: Prevención Inyecciones SQL (SQLi)</w:t>
      </w:r>
    </w:p>
    <w:p w14:paraId="28207B1D" w14:textId="77777777" w:rsidR="00640BA5" w:rsidRDefault="00640BA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Problema de Origen:</w:t>
      </w:r>
      <w:r>
        <w:rPr>
          <w:rFonts w:ascii="Calibri" w:eastAsia="Times New Roman" w:hAnsi="Calibri" w:cs="Calibri"/>
          <w:sz w:val="22"/>
          <w:szCs w:val="22"/>
        </w:rPr>
        <w:t xml:space="preserve"> El código base inicial heredado utilizaba constructores dinámicos f-strings (Ej. </w:t>
      </w:r>
      <w:r>
        <w:rPr>
          <w:rStyle w:val="CdigoHTML"/>
        </w:rPr>
        <w:t>f"SELECT * FROM menor_evaluado WHERE entidad = '{entidad}'"</w:t>
      </w:r>
      <w:r>
        <w:rPr>
          <w:rFonts w:ascii="Calibri" w:eastAsia="Times New Roman" w:hAnsi="Calibri" w:cs="Calibri"/>
          <w:sz w:val="22"/>
          <w:szCs w:val="22"/>
        </w:rPr>
        <w:t>) lo que ponía en inmenso riesgo la base de datos PostgreSQL ante inyecciones estructuradas por lotes.</w:t>
      </w:r>
    </w:p>
    <w:p w14:paraId="011FCA27" w14:textId="77777777" w:rsidR="00640BA5" w:rsidRDefault="00640BA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Remediación Entregada:</w:t>
      </w:r>
      <w:r>
        <w:rPr>
          <w:rFonts w:ascii="Calibri" w:eastAsia="Times New Roman" w:hAnsi="Calibri" w:cs="Calibri"/>
          <w:sz w:val="22"/>
          <w:szCs w:val="22"/>
        </w:rPr>
        <w:t xml:space="preserve"> El módulo 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  <w:sz w:val="22"/>
          <w:szCs w:val="22"/>
        </w:rPr>
        <w:t xml:space="preserve"> fue refactorizado, erradicando todas las consultas crudas e instrumentando un *binding* estricto de parámetros posicionales usando la API segura del conector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  <w:sz w:val="22"/>
          <w:szCs w:val="22"/>
        </w:rPr>
        <w:t xml:space="preserve">. </w:t>
      </w:r>
    </w:p>
    <w:p w14:paraId="3B9AD9A3" w14:textId="77777777" w:rsidR="00640BA5" w:rsidRDefault="00640BA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Validación Final:</w:t>
      </w:r>
      <w:r>
        <w:rPr>
          <w:rFonts w:ascii="Calibri" w:eastAsia="Times New Roman" w:hAnsi="Calibri" w:cs="Calibri"/>
          <w:sz w:val="22"/>
          <w:szCs w:val="22"/>
        </w:rPr>
        <w:t xml:space="preserve"> Certificado y probado contra inyecciones estándar mediante Pytest.</w:t>
      </w:r>
    </w:p>
    <w:p w14:paraId="3E9C2725" w14:textId="77777777" w:rsidR="00640BA5" w:rsidRDefault="00640BA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Resolución Issue #60: Migración Criptográfica a AES-256-GCM</w:t>
      </w:r>
    </w:p>
    <w:p w14:paraId="07968F16" w14:textId="77777777" w:rsidR="00640BA5" w:rsidRDefault="00640BA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Problema de Origen:</w:t>
      </w:r>
      <w:r>
        <w:rPr>
          <w:rFonts w:ascii="Calibri" w:eastAsia="Times New Roman" w:hAnsi="Calibri" w:cs="Calibri"/>
          <w:sz w:val="22"/>
          <w:szCs w:val="22"/>
        </w:rPr>
        <w:t xml:space="preserve"> Las llaves temporales de paso creadas para interactuar con los Web Services del IMSS se cifraban utilizando el vetusto estándar </w:t>
      </w:r>
      <w:r>
        <w:rPr>
          <w:rStyle w:val="CdigoHTML"/>
        </w:rPr>
        <w:t>AES-ECB</w:t>
      </w:r>
      <w:r>
        <w:rPr>
          <w:rFonts w:ascii="Calibri" w:eastAsia="Times New Roman" w:hAnsi="Calibri" w:cs="Calibri"/>
          <w:sz w:val="22"/>
          <w:szCs w:val="22"/>
        </w:rPr>
        <w:t xml:space="preserve"> (Electronic Codebook), altamente susceptible a detección de patrones dado que el mismo texto plano siempre genera el mismo hash.</w:t>
      </w:r>
    </w:p>
    <w:p w14:paraId="35FBEDE6" w14:textId="77777777" w:rsidR="00640BA5" w:rsidRDefault="00640BA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Remediación Entregada:</w:t>
      </w:r>
      <w:r>
        <w:rPr>
          <w:rFonts w:ascii="Calibri" w:eastAsia="Times New Roman" w:hAnsi="Calibri" w:cs="Calibri"/>
          <w:sz w:val="22"/>
          <w:szCs w:val="22"/>
        </w:rPr>
        <w:t xml:space="preserve"> Implementación del estándar de nivel militar </w:t>
      </w:r>
      <w:r>
        <w:rPr>
          <w:rStyle w:val="Fuerte"/>
          <w:rFonts w:ascii="Calibri" w:eastAsia="Times New Roman" w:hAnsi="Calibri" w:cs="Calibri"/>
          <w:sz w:val="22"/>
          <w:szCs w:val="22"/>
        </w:rPr>
        <w:t>AES-256-GCM</w:t>
      </w:r>
      <w:r>
        <w:rPr>
          <w:rFonts w:ascii="Calibri" w:eastAsia="Times New Roman" w:hAnsi="Calibri" w:cs="Calibri"/>
          <w:sz w:val="22"/>
          <w:szCs w:val="22"/>
        </w:rPr>
        <w:t xml:space="preserve"> (Galois/Counter Mode). Este protocolo no solo cifra el texto, sino que incluye un vector de inicialización único (IV) y un Tag de Autenticación (MAC), asegurando que cualquier manipulación en tránsito (*Man-in-the-Middle*) sea detectada y descartada antes de procesar.</w:t>
      </w:r>
    </w:p>
    <w:p w14:paraId="1CE25F28" w14:textId="77777777" w:rsidR="00640BA5" w:rsidRDefault="00640BA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Validación Final:</w:t>
      </w:r>
      <w:r>
        <w:rPr>
          <w:rFonts w:ascii="Calibri" w:eastAsia="Times New Roman" w:hAnsi="Calibri" w:cs="Calibri"/>
          <w:sz w:val="22"/>
          <w:szCs w:val="22"/>
        </w:rPr>
        <w:t xml:space="preserve"> Se entregan pruebas Cypress End-to-End validando la respuesta HTTPS del IMSS.</w:t>
      </w:r>
    </w:p>
    <w:p w14:paraId="336949C3" w14:textId="77777777" w:rsidR="00640BA5" w:rsidRDefault="00640BA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Resolución Issue #59: Ofuscación PII en Consultas GraphQL</w:t>
      </w:r>
    </w:p>
    <w:p w14:paraId="693F9B93" w14:textId="77777777" w:rsidR="00640BA5" w:rsidRDefault="00640BA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Problema de Origen:</w:t>
      </w:r>
      <w:r>
        <w:rPr>
          <w:rFonts w:ascii="Calibri" w:eastAsia="Times New Roman" w:hAnsi="Calibri" w:cs="Calibri"/>
          <w:sz w:val="22"/>
          <w:szCs w:val="22"/>
        </w:rPr>
        <w:t xml:space="preserve"> Al realizar *queries* sobre el estado de un lote, el servidor Strawberry devolvía la CURP de los alumnos en texto plano (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>), exponiendo Información Identificable Personal (PII) por defecto hacia las consolas de desarrollador de los navegadores web.</w:t>
      </w:r>
    </w:p>
    <w:p w14:paraId="48403928" w14:textId="77777777" w:rsidR="00640BA5" w:rsidRDefault="00640BA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Remediación Entregada:</w:t>
      </w:r>
      <w:r>
        <w:rPr>
          <w:rFonts w:ascii="Calibri" w:eastAsia="Times New Roman" w:hAnsi="Calibri" w:cs="Calibri"/>
          <w:sz w:val="22"/>
          <w:szCs w:val="22"/>
        </w:rPr>
        <w:t xml:space="preserve"> Se desarrolló un inyector (directive / scalar modifier)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  <w:sz w:val="22"/>
          <w:szCs w:val="22"/>
        </w:rPr>
        <w:t xml:space="preserve"> que asegura que todo string detectado como CURP sea despachado truncado al cliente (Ej. </w:t>
      </w:r>
      <w:r>
        <w:rPr>
          <w:rStyle w:val="CdigoHTML"/>
        </w:rPr>
        <w:t>XXXX</w:t>
      </w:r>
      <w:r>
        <w:rPr>
          <w:rStyle w:val="Fuerte"/>
          <w:rFonts w:ascii="Courier New" w:hAnsi="Courier New" w:cs="Courier New"/>
          <w:sz w:val="20"/>
          <w:szCs w:val="20"/>
        </w:rPr>
        <w:t>*</w:t>
      </w:r>
      <w:r>
        <w:rPr>
          <w:rStyle w:val="CdigoHTML"/>
        </w:rPr>
        <w:t>*XXXX**0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62DD9CCE" w14:textId="77777777" w:rsidR="00640BA5" w:rsidRDefault="00640BA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Validación Final: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Verificado en pruebas locales E2E donde el *Over-fetching* de identidad queda totalmente imposibilitado.</w:t>
      </w:r>
    </w:p>
    <w:p w14:paraId="6AD56C8A" w14:textId="77777777" w:rsidR="00640BA5" w:rsidRDefault="00640BA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0B5ACE8">
          <v:rect id="_x0000_i1030" style="width:0;height:1.5pt" o:hralign="center" o:hrstd="t" o:hr="t" fillcolor="#a0a0a0" stroked="f"/>
        </w:pict>
      </w:r>
    </w:p>
    <w:p w14:paraId="18B1E4F1" w14:textId="77777777" w:rsidR="00640BA5" w:rsidRDefault="00640BA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Componentes y Transferencia de Activos</w:t>
      </w:r>
    </w:p>
    <w:p w14:paraId="7BA8C04C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cierre de este reporte, se certifica que se transfiere íntegramente a la dependencia la siguiente base documental contenida en 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(Directorio </w:t>
      </w:r>
      <w:r>
        <w:rPr>
          <w:rStyle w:val="CdigoHTML"/>
        </w:rPr>
        <w:t>/fase-2</w:t>
      </w:r>
      <w:r>
        <w:rPr>
          <w:rFonts w:ascii="Calibri" w:hAnsi="Calibri" w:cs="Calibri"/>
          <w:sz w:val="22"/>
          <w:szCs w:val="22"/>
        </w:rPr>
        <w:t xml:space="preserve"> y raíz):</w:t>
      </w:r>
    </w:p>
    <w:p w14:paraId="13E62025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y Orquestador de Lotes:</w:t>
      </w:r>
      <w:r>
        <w:rPr>
          <w:rFonts w:ascii="Calibri" w:hAnsi="Calibri" w:cs="Calibri"/>
          <w:sz w:val="22"/>
          <w:szCs w:val="22"/>
        </w:rPr>
        <w:t xml:space="preserve"> Backend en FastAPI y UI Angular 18 empaquetados y configurables.</w:t>
      </w:r>
    </w:p>
    <w:p w14:paraId="7E6BDAB8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Archivos de Auditoría Forense:</w:t>
      </w:r>
      <w:r>
        <w:rPr>
          <w:rFonts w:ascii="Calibri" w:hAnsi="Calibri" w:cs="Calibri"/>
          <w:sz w:val="22"/>
          <w:szCs w:val="22"/>
        </w:rPr>
        <w:t xml:space="preserve"> Colección exhaustiva de Reportes Técnicos (</w:t>
      </w:r>
      <w:r>
        <w:rPr>
          <w:rStyle w:val="CdigoHTML"/>
        </w:rPr>
        <w:t>REPORTE_TECNICO_ISSUE_59/60/61</w:t>
      </w:r>
      <w:r>
        <w:rPr>
          <w:rFonts w:ascii="Calibri" w:hAnsi="Calibri" w:cs="Calibri"/>
          <w:sz w:val="22"/>
          <w:szCs w:val="22"/>
        </w:rPr>
        <w:t>), *Root Cause Analysis* (</w:t>
      </w:r>
      <w:r>
        <w:rPr>
          <w:rStyle w:val="CdigoHTML"/>
        </w:rPr>
        <w:t>RCA_ISSUE_61</w:t>
      </w:r>
      <w:r>
        <w:rPr>
          <w:rFonts w:ascii="Calibri" w:hAnsi="Calibri" w:cs="Calibri"/>
          <w:sz w:val="22"/>
          <w:szCs w:val="22"/>
        </w:rPr>
        <w:t>, etc.), Planes de Implementación y Archivos de Cierre alojados inmutablemente en el directorio de documentación.</w:t>
      </w:r>
    </w:p>
    <w:p w14:paraId="0AB2B64A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Casos de Pruebas Automatizadas:</w:t>
      </w:r>
      <w:r>
        <w:rPr>
          <w:rFonts w:ascii="Calibri" w:hAnsi="Calibri" w:cs="Calibri"/>
          <w:sz w:val="22"/>
          <w:szCs w:val="22"/>
        </w:rPr>
        <w:t xml:space="preserve"> 100% de cobertura en flujos críticos (</w:t>
      </w:r>
      <w:r>
        <w:rPr>
          <w:rStyle w:val="CdigoHTML"/>
        </w:rPr>
        <w:t>test_imss_client.py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test_schema.py</w:t>
      </w:r>
      <w:r>
        <w:rPr>
          <w:rFonts w:ascii="Calibri" w:hAnsi="Calibri" w:cs="Calibri"/>
          <w:sz w:val="22"/>
          <w:szCs w:val="22"/>
        </w:rPr>
        <w:t>) e integraciones Cypress funcionales (</w:t>
      </w:r>
      <w:r>
        <w:rPr>
          <w:rStyle w:val="CdigoHTML"/>
        </w:rPr>
        <w:t>imss-integration.cy.ts</w:t>
      </w:r>
      <w:r>
        <w:rPr>
          <w:rFonts w:ascii="Calibri" w:hAnsi="Calibri" w:cs="Calibri"/>
          <w:sz w:val="22"/>
          <w:szCs w:val="22"/>
        </w:rPr>
        <w:t>).</w:t>
      </w:r>
    </w:p>
    <w:p w14:paraId="0507E8AA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Histórico y Matrices Institucionales:</w:t>
      </w:r>
      <w:r>
        <w:rPr>
          <w:rFonts w:ascii="Calibri" w:hAnsi="Calibri" w:cs="Calibri"/>
          <w:sz w:val="22"/>
          <w:szCs w:val="22"/>
        </w:rPr>
        <w:t xml:space="preserve"> Se anexan el *Inventario Técnico del Repositorio* (2026-04-17), *Bitácora del Proyecto* y *Checklist de Auditoría* validando el apego gubernamental normativo.</w:t>
      </w:r>
    </w:p>
    <w:p w14:paraId="1B756294" w14:textId="77777777" w:rsidR="00640BA5" w:rsidRDefault="00640BA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esta declaratoria final, se hace oficial la conclusión operativa y el traspaso exitoso de responsabilidades sobre el ecosistema Vida Saludable (Fase 2).</w:t>
      </w:r>
    </w:p>
    <w:sectPr w:rsidR="00640B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7C30EF"/>
    <w:multiLevelType w:val="multilevel"/>
    <w:tmpl w:val="E032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A43E40"/>
    <w:multiLevelType w:val="multilevel"/>
    <w:tmpl w:val="C748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45369"/>
    <w:multiLevelType w:val="multilevel"/>
    <w:tmpl w:val="4A3C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90F2B"/>
    <w:multiLevelType w:val="multilevel"/>
    <w:tmpl w:val="43382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1837673">
    <w:abstractNumId w:val="2"/>
  </w:num>
  <w:num w:numId="2" w16cid:durableId="402071165">
    <w:abstractNumId w:val="1"/>
  </w:num>
  <w:num w:numId="3" w16cid:durableId="640811343">
    <w:abstractNumId w:val="0"/>
  </w:num>
  <w:num w:numId="4" w16cid:durableId="1436945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BD4"/>
    <w:rsid w:val="00306BD4"/>
    <w:rsid w:val="003D0656"/>
    <w:rsid w:val="00640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87D41A"/>
  <w15:chartTrackingRefBased/>
  <w15:docId w15:val="{108A071D-112C-43C0-8093-431C2625C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1110</Words>
  <Characters>6106</Characters>
  <Application>Microsoft Office Word</Application>
  <DocSecurity>0</DocSecurity>
  <Lines>50</Lines>
  <Paragraphs>14</Paragraphs>
  <ScaleCrop>false</ScaleCrop>
  <Company/>
  <LinksUpToDate>false</LinksUpToDate>
  <CharactersWithSpaces>7202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2026-06-23T19:14:00Z</dcterms:created>
  <dcterms:modified xsi:type="dcterms:W3CDTF">2026-06-23T19:14:00Z</dcterms:modified>
</cp:coreProperties>
</file>