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B3F7A" w14:textId="77777777" w:rsidR="00F14EA0" w:rsidRDefault="00F14EA0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Preparación de Datos, Gobernanza y Protección de Información Personal (PII)</w:t>
      </w:r>
    </w:p>
    <w:p w14:paraId="071EFAAC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4A8359AC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2C13F660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14DF8104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5D653C82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Gobernanza Definitiva (Data Compliance) </w:t>
      </w:r>
    </w:p>
    <w:p w14:paraId="0FCF4110" w14:textId="77777777" w:rsidR="00F14EA0" w:rsidRDefault="00F14EA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06E5612">
          <v:rect id="_x0000_i1025" style="width:0;height:1.5pt" o:hralign="center" o:hrstd="t" o:hr="t" fillcolor="#a0a0a0" stroked="f"/>
        </w:pict>
      </w:r>
    </w:p>
    <w:p w14:paraId="1CFFC3A1" w14:textId="77777777" w:rsidR="00F14EA0" w:rsidRDefault="00F14EA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1B00AF8A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certifica legal y operativamente el diseño, estandarización y entrega del modelo rector de </w:t>
      </w:r>
      <w:r>
        <w:rPr>
          <w:rStyle w:val="Fuerte"/>
          <w:rFonts w:ascii="Calibri" w:hAnsi="Calibri" w:cs="Calibri"/>
          <w:sz w:val="22"/>
          <w:szCs w:val="22"/>
        </w:rPr>
        <w:t>Gobernanza de Datos y Curación para Inteligencia Analítica</w:t>
      </w:r>
      <w:r>
        <w:rPr>
          <w:rFonts w:ascii="Calibri" w:hAnsi="Calibri" w:cs="Calibri"/>
          <w:sz w:val="22"/>
          <w:szCs w:val="22"/>
        </w:rPr>
        <w:t xml:space="preserve"> de la Plataforma MUSEMS y el entorno Vida Saludable. Su meta primordial es documentar el blindaje implementado para garantizar la seguridad de la Información Personalmente Identificable (PII) conforme a la Ley General de Protección de Datos Personales en Posesión de Sujetos Obligados (LGPDPPSO).</w:t>
      </w:r>
    </w:p>
    <w:p w14:paraId="045AEF84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Los datasets entregados en la base de datos Oracle 19c y PostgreSQL han sido depurados y preparados con la finalidad no solo de renderizar tableros BI, sino de funcionar estructuralmente como insumo normativo para futuros motores de inferencia (Machine Learning / IA) institucionales sin comprometer la privacidad individual de los ciudadanos.</w:t>
      </w:r>
    </w:p>
    <w:p w14:paraId="2FA35F24" w14:textId="77777777" w:rsidR="00F14EA0" w:rsidRDefault="00F14EA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3E8A3F1">
          <v:rect id="_x0000_i1026" style="width:0;height:1.5pt" o:hralign="center" o:hrstd="t" o:hr="t" fillcolor="#a0a0a0" stroked="f"/>
        </w:pict>
      </w:r>
    </w:p>
    <w:p w14:paraId="2985A6CB" w14:textId="77777777" w:rsidR="00F14EA0" w:rsidRDefault="00F14EA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Paradigma de Enmascaramiento y Auditoría Forense (Resolución de Requerimientos)</w:t>
      </w:r>
    </w:p>
    <w:p w14:paraId="075C94DD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gestión tecnológica previa adolecía de fugas sistémicas, donde claves de identidad (CURP) eran expuestas masivamente en tráfico *clear-text* a consolas operativas. La entrega de hoy erradica estas brechas y transfiere un modelo certificado bajo la denominación </w:t>
      </w:r>
      <w:r>
        <w:rPr>
          <w:rStyle w:val="CdigoHTML"/>
        </w:rPr>
        <w:t>CU-SEC-01</w:t>
      </w:r>
      <w:r>
        <w:rPr>
          <w:rFonts w:ascii="Calibri" w:hAnsi="Calibri" w:cs="Calibri"/>
          <w:sz w:val="22"/>
          <w:szCs w:val="22"/>
        </w:rPr>
        <w:t xml:space="preserve"> de la Matriz Institucional.</w:t>
      </w:r>
    </w:p>
    <w:p w14:paraId="05C790F8" w14:textId="77777777" w:rsidR="00F14EA0" w:rsidRDefault="00F14EA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Enmascaramiento Dinámico Integral (MUSEMS y Vida Saludable)</w:t>
      </w:r>
    </w:p>
    <w:p w14:paraId="541133CA" w14:textId="77777777" w:rsidR="00F14EA0" w:rsidRDefault="00F14EA0" w:rsidP="00F14EA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Implementación en GraphQL (Vida Saludable):</w:t>
      </w:r>
      <w:r>
        <w:rPr>
          <w:rFonts w:ascii="Calibri" w:eastAsia="Times New Roman" w:hAnsi="Calibri" w:cs="Calibri"/>
        </w:rPr>
        <w:t xml:space="preserve"> A través del *Issue 59*, se formalizó la integración de *scalars* personalizados y directivas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</w:rPr>
        <w:t xml:space="preserve"> de Strawberry, truncando por diseño (*Privacy by Design*) la visualización de CURPs hacia los analistas y previendo el secuestro masivo (*scraping*) de identidad.</w:t>
      </w:r>
    </w:p>
    <w:p w14:paraId="32FCA0FA" w14:textId="77777777" w:rsidR="00F14EA0" w:rsidRDefault="00F14EA0" w:rsidP="00F14EA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Vistas Materializadas en Oracle 19c:</w:t>
      </w:r>
      <w:r>
        <w:rPr>
          <w:rFonts w:ascii="Calibri" w:eastAsia="Times New Roman" w:hAnsi="Calibri" w:cs="Calibri"/>
        </w:rPr>
        <w:t xml:space="preserve"> La interfaz principal de MUSEMS se nutre de la estructura </w:t>
      </w:r>
      <w:r>
        <w:rPr>
          <w:rStyle w:val="CdigoHTML"/>
        </w:rPr>
        <w:t>MV_MUSEMS_IDENTITY_HASH</w:t>
      </w:r>
      <w:r>
        <w:rPr>
          <w:rFonts w:ascii="Calibri" w:eastAsia="Times New Roman" w:hAnsi="Calibri" w:cs="Calibri"/>
        </w:rPr>
        <w:t xml:space="preserve">. Este contenedor aplica criptografía transparente haciendo uso de la macro </w:t>
      </w:r>
      <w:r>
        <w:rPr>
          <w:rStyle w:val="CdigoHTML"/>
        </w:rPr>
        <w:t>STANDARD_HASH</w:t>
      </w:r>
      <w:r>
        <w:rPr>
          <w:rFonts w:ascii="Calibri" w:eastAsia="Times New Roman" w:hAnsi="Calibri" w:cs="Calibri"/>
        </w:rPr>
        <w:t xml:space="preserve"> y el factor de *Salt* institucional (</w:t>
      </w:r>
      <w:r>
        <w:rPr>
          <w:rStyle w:val="CdigoHTML"/>
        </w:rPr>
        <w:t>MUSEMS_SALT_2026</w:t>
      </w:r>
      <w:r>
        <w:rPr>
          <w:rFonts w:ascii="Calibri" w:eastAsia="Times New Roman" w:hAnsi="Calibri" w:cs="Calibri"/>
        </w:rPr>
        <w:t xml:space="preserve">). Se han inhabilitado todas las sentencias </w:t>
      </w:r>
      <w:r>
        <w:rPr>
          <w:rStyle w:val="CdigoHTML"/>
        </w:rPr>
        <w:t>SELECT *</w:t>
      </w:r>
      <w:r>
        <w:rPr>
          <w:rFonts w:ascii="Calibri" w:eastAsia="Times New Roman" w:hAnsi="Calibri" w:cs="Calibri"/>
        </w:rPr>
        <w:t xml:space="preserve"> sobre tablas puras que alberguen datos biométricos, curriculares o de salud.</w:t>
      </w:r>
    </w:p>
    <w:p w14:paraId="20B8736F" w14:textId="77777777" w:rsidR="00F14EA0" w:rsidRDefault="00F14EA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Trazabilidad de Acciones Sensibles (Auditoría de Inmutabilidad)</w:t>
      </w:r>
    </w:p>
    <w:p w14:paraId="5F313048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aquellas tareas que exigen forzosamente acceder a la identidad en claro (e.g. impresión de citatorios), la interfaz React ofrece el disparador de la acción (botón "Mostrar PII").</w:t>
      </w:r>
    </w:p>
    <w:p w14:paraId="7D161484" w14:textId="77777777" w:rsidR="00F14EA0" w:rsidRDefault="00F14EA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19FA3F83" wp14:editId="30633F7C">
            <wp:extent cx="13677900" cy="38709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E0E67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Esta mecánica es el pináculo de la gobernanza, pues dota al equipo de una </w:t>
      </w:r>
      <w:r>
        <w:rPr>
          <w:rStyle w:val="Fuerte"/>
          <w:rFonts w:ascii="Calibri" w:hAnsi="Calibri" w:cs="Calibri"/>
          <w:sz w:val="22"/>
          <w:szCs w:val="22"/>
        </w:rPr>
        <w:t>Bitácora Operativa Analítica</w:t>
      </w:r>
      <w:r>
        <w:rPr>
          <w:rFonts w:ascii="Calibri" w:hAnsi="Calibri" w:cs="Calibri"/>
          <w:sz w:val="22"/>
          <w:szCs w:val="22"/>
        </w:rPr>
        <w:t>. Estos *logs* inmutables servirán como variables de entrenamiento en el futuro mediato para que la Inteligencia Artificial (DLP Models) detecte comportamientos malintencionados en el accionar del personal administrativo.</w:t>
      </w:r>
    </w:p>
    <w:p w14:paraId="431B6866" w14:textId="77777777" w:rsidR="00F14EA0" w:rsidRDefault="00F14EA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E61F41">
          <v:rect id="_x0000_i1027" style="width:0;height:1.5pt" o:hralign="center" o:hrstd="t" o:hr="t" fillcolor="#a0a0a0" stroked="f"/>
        </w:pict>
      </w:r>
    </w:p>
    <w:p w14:paraId="0D80E8E0" w14:textId="77777777" w:rsidR="00F14EA0" w:rsidRDefault="00F14EA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Modelo de Curación Avanzada y Data Quality (Shift-Left)</w:t>
      </w:r>
    </w:p>
    <w:p w14:paraId="2572885B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que un modelo predictivo rinda frutos, la basura entrante debe ser aniquilada antes de consolidarse en capas profundas.</w:t>
      </w:r>
    </w:p>
    <w:p w14:paraId="35E5E0A1" w14:textId="77777777" w:rsidR="00F14EA0" w:rsidRDefault="00F14EA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Estructuras Históricas y Limpieza Estandarizada</w:t>
      </w:r>
    </w:p>
    <w:p w14:paraId="4EE74499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transfieren a la dependencia arquitecturas lógicas de validación temprana en el proceso de ingesta:</w:t>
      </w:r>
    </w:p>
    <w:p w14:paraId="193F7FB2" w14:textId="77777777" w:rsidR="00F14EA0" w:rsidRDefault="00F14EA0" w:rsidP="00F14E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Vista Analítica Central (</w:t>
      </w:r>
      <w:r>
        <w:rPr>
          <w:rStyle w:val="CdigoHTML"/>
          <w:b/>
          <w:bCs/>
        </w:rPr>
        <w:t>VW_BI_MUSEMS_HISTORICO_CURP</w:t>
      </w:r>
      <w:r>
        <w:rPr>
          <w:rStyle w:val="Fuerte"/>
          <w:rFonts w:ascii="Calibri" w:eastAsia="Times New Roman" w:hAnsi="Calibri" w:cs="Calibri"/>
        </w:rPr>
        <w:t>):</w:t>
      </w:r>
      <w:r>
        <w:rPr>
          <w:rFonts w:ascii="Calibri" w:eastAsia="Times New Roman" w:hAnsi="Calibri" w:cs="Calibri"/>
        </w:rPr>
        <w:t xml:space="preserve"> Se entrega certificada la novena vista estructural. Este *dataset* funge como el historial cronológico vital de trayectorias. Para que los registros califiquen en esta vista, se les exige superar pruebas lógicas rígidas (Ej. rechazo absoluto de registros donde </w:t>
      </w:r>
      <w:r>
        <w:rPr>
          <w:rStyle w:val="CdigoHTML"/>
        </w:rPr>
        <w:t>CURP IS NULL</w:t>
      </w:r>
      <w:r>
        <w:rPr>
          <w:rFonts w:ascii="Calibri" w:eastAsia="Times New Roman" w:hAnsi="Calibri" w:cs="Calibri"/>
        </w:rPr>
        <w:t xml:space="preserve"> o el Centro de Trabajo </w:t>
      </w:r>
      <w:r>
        <w:rPr>
          <w:rStyle w:val="CdigoHTML"/>
        </w:rPr>
        <w:t>CCT</w:t>
      </w:r>
      <w:r>
        <w:rPr>
          <w:rFonts w:ascii="Calibri" w:eastAsia="Times New Roman" w:hAnsi="Calibri" w:cs="Calibri"/>
        </w:rPr>
        <w:t xml:space="preserve"> no contenga la longitud de 10 caracteres obligatorios según catálogo oficial de la SEP).</w:t>
      </w:r>
    </w:p>
    <w:p w14:paraId="34128889" w14:textId="77777777" w:rsidR="00F14EA0" w:rsidRDefault="00F14EA0" w:rsidP="00F14E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Tratamiento Purgado (Vida Saludable):</w:t>
      </w:r>
      <w:r>
        <w:rPr>
          <w:rFonts w:ascii="Calibri" w:eastAsia="Times New Roman" w:hAnsi="Calibri" w:cs="Calibri"/>
        </w:rPr>
        <w:t xml:space="preserve"> Se entregaron los *Layouts* funcionales (Ej. </w:t>
      </w:r>
      <w:r>
        <w:rPr>
          <w:rStyle w:val="CdigoHTML"/>
        </w:rPr>
        <w:t>MENORES_SIN_PADECIMIENTO.csv</w:t>
      </w:r>
      <w:r>
        <w:rPr>
          <w:rFonts w:ascii="Calibri" w:eastAsia="Times New Roman" w:hAnsi="Calibri" w:cs="Calibri"/>
        </w:rPr>
        <w:t>) parametrizados; el mes pasado, esto permitió desechar limpiamente códigos de extranjeros erróneos (NE) sin contaminar la matriz transaccional. Se aconseja al área operativa mantener estas limitantes.</w:t>
      </w:r>
    </w:p>
    <w:p w14:paraId="460CC470" w14:textId="77777777" w:rsidR="00F14EA0" w:rsidRDefault="00F14EA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D49DE1F">
          <v:rect id="_x0000_i1028" style="width:0;height:1.5pt" o:hralign="center" o:hrstd="t" o:hr="t" fillcolor="#a0a0a0" stroked="f"/>
        </w:pict>
      </w:r>
    </w:p>
    <w:p w14:paraId="72D8E044" w14:textId="77777777" w:rsidR="00F14EA0" w:rsidRDefault="00F14EA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052079E8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cierre que rubrica formal y jurídicamente la salvaguarda y preparación de datos maestros, se transfieren a resguardo total de la SEP los siguientes compendios normativos:</w:t>
      </w:r>
    </w:p>
    <w:p w14:paraId="49F16DA8" w14:textId="77777777" w:rsidR="00F14EA0" w:rsidRDefault="00F14EA0" w:rsidP="00F14E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(10) Diccionario de Datos:</w:t>
      </w:r>
      <w:r>
        <w:rPr>
          <w:rFonts w:ascii="Calibri" w:eastAsia="Times New Roman" w:hAnsi="Calibri" w:cs="Calibri"/>
        </w:rPr>
        <w:t xml:space="preserve"> Actualizado masivamente, contiene la inserción, metadata y restricciones de tipo de dato de todas las tablas y vistas, incluyendo la novena capa biográfica y de identidad.</w:t>
      </w:r>
    </w:p>
    <w:p w14:paraId="4E089E99" w14:textId="77777777" w:rsidR="00F14EA0" w:rsidRDefault="00F14EA0" w:rsidP="00F14E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(12) Reglas de Negocio:</w:t>
      </w:r>
      <w:r>
        <w:rPr>
          <w:rFonts w:ascii="Calibri" w:eastAsia="Times New Roman" w:hAnsi="Calibri" w:cs="Calibri"/>
        </w:rPr>
        <w:t xml:space="preserve"> Se transfieren documentadas en su totalidad las regulaciones formales que describen el tratamiento legal de los archivos de importación, dictámenes médicos (IMSS) y retención temporal, asegurando alineación LGPDPPSO.</w:t>
      </w:r>
    </w:p>
    <w:p w14:paraId="3BB921E2" w14:textId="77777777" w:rsidR="00F14EA0" w:rsidRDefault="00F14EA0" w:rsidP="00F14E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Matriz de Trazabilidad 4.1:</w:t>
      </w:r>
      <w:r>
        <w:rPr>
          <w:rFonts w:ascii="Calibri" w:eastAsia="Times New Roman" w:hAnsi="Calibri" w:cs="Calibri"/>
        </w:rPr>
        <w:t xml:space="preserve"> Documento que valida mediante una tabla HTML de alto impacto que la restricción de visibilidad y encriptación (Requisito RF-08) se cumplió de principio a fin hasta su comprobación E2E (QA </w:t>
      </w:r>
      <w:r>
        <w:rPr>
          <w:rStyle w:val="CdigoHTML"/>
        </w:rPr>
        <w:t>SEC-02</w:t>
      </w:r>
      <w:r>
        <w:rPr>
          <w:rFonts w:ascii="Calibri" w:eastAsia="Times New Roman" w:hAnsi="Calibri" w:cs="Calibri"/>
        </w:rPr>
        <w:t>).</w:t>
      </w:r>
    </w:p>
    <w:p w14:paraId="4855ADD2" w14:textId="77777777" w:rsidR="00F14EA0" w:rsidRDefault="00F14EA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 estos estatutos, el modelado, privacidad y limpieza de datos institucionales se reporta como plenamente auditado, transferido y exitosamente concluido.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1"/>
      <w:footerReference w:type="default" r:id="rId12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1362B" w14:textId="77777777" w:rsidR="00C306B2" w:rsidRPr="00F35958" w:rsidRDefault="00C306B2" w:rsidP="00997E2E">
      <w:r w:rsidRPr="00F35958">
        <w:separator/>
      </w:r>
    </w:p>
  </w:endnote>
  <w:endnote w:type="continuationSeparator" w:id="0">
    <w:p w14:paraId="3EC0AE55" w14:textId="77777777" w:rsidR="00C306B2" w:rsidRPr="00F35958" w:rsidRDefault="00C306B2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46B95" w14:textId="77777777" w:rsidR="00C306B2" w:rsidRPr="00F35958" w:rsidRDefault="00C306B2" w:rsidP="00997E2E">
      <w:r w:rsidRPr="00F35958">
        <w:separator/>
      </w:r>
    </w:p>
  </w:footnote>
  <w:footnote w:type="continuationSeparator" w:id="0">
    <w:p w14:paraId="294920B5" w14:textId="77777777" w:rsidR="00C306B2" w:rsidRPr="00F35958" w:rsidRDefault="00C306B2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16110E4"/>
    <w:multiLevelType w:val="multilevel"/>
    <w:tmpl w:val="826E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146BFB"/>
    <w:multiLevelType w:val="multilevel"/>
    <w:tmpl w:val="45E02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853D24"/>
    <w:multiLevelType w:val="multilevel"/>
    <w:tmpl w:val="A5B4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2"/>
  </w:num>
  <w:num w:numId="8" w16cid:durableId="1187519976">
    <w:abstractNumId w:val="9"/>
  </w:num>
  <w:num w:numId="9" w16cid:durableId="774518276">
    <w:abstractNumId w:val="8"/>
  </w:num>
  <w:num w:numId="10" w16cid:durableId="2009867063">
    <w:abstractNumId w:val="10"/>
  </w:num>
  <w:num w:numId="11" w16cid:durableId="1924602666">
    <w:abstractNumId w:val="13"/>
  </w:num>
  <w:num w:numId="12" w16cid:durableId="2021344936">
    <w:abstractNumId w:val="2"/>
  </w:num>
  <w:num w:numId="13" w16cid:durableId="1164125646">
    <w:abstractNumId w:val="11"/>
  </w:num>
  <w:num w:numId="14" w16cid:durableId="1461264821">
    <w:abstractNumId w:val="7"/>
  </w:num>
  <w:num w:numId="15" w16cid:durableId="1746878014">
    <w:abstractNumId w:val="1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C5640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306B2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14EA0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F14EA0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F14EA0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2023</Words>
  <Characters>11129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2026-06-23T19:16:00Z</dcterms:modified>
  <cp:category/>
</cp:coreProperties>
</file>