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E715" w14:textId="77777777" w:rsidR="00205D8C" w:rsidRDefault="00205D8C">
      <w:pPr>
        <w:pStyle w:val="Ttulo1"/>
        <w:rPr>
          <w:rFonts w:ascii="Calibri" w:eastAsia="Times New Roman" w:hAnsi="Calibri" w:cs="Calibri"/>
        </w:rPr>
      </w:pPr>
      <w:r>
        <w:rPr>
          <w:rFonts w:ascii="Calibri" w:eastAsia="Times New Roman" w:hAnsi="Calibri" w:cs="Calibri"/>
        </w:rPr>
        <w:t>Acta de Cierre: Optimización, Arquitectura y Rendimiento de Bases de Datos (MUSEMS)</w:t>
      </w:r>
    </w:p>
    <w:p w14:paraId="0023FF01" w14:textId="77777777" w:rsidR="00205D8C" w:rsidRDefault="00205D8C">
      <w:pPr>
        <w:pStyle w:val="NormalWeb"/>
        <w:rPr>
          <w:rFonts w:ascii="Calibri" w:hAnsi="Calibri" w:cs="Calibri"/>
          <w:sz w:val="22"/>
          <w:szCs w:val="22"/>
        </w:rPr>
      </w:pPr>
      <w:r>
        <w:rPr>
          <w:rStyle w:val="Fuerte"/>
          <w:rFonts w:ascii="Calibri" w:hAnsi="Calibri" w:cs="Calibri"/>
          <w:sz w:val="22"/>
          <w:szCs w:val="22"/>
        </w:rPr>
        <w:t>Mes de Corte:</w:t>
      </w:r>
      <w:r>
        <w:rPr>
          <w:rFonts w:ascii="Calibri" w:hAnsi="Calibri" w:cs="Calibri"/>
          <w:sz w:val="22"/>
          <w:szCs w:val="22"/>
        </w:rPr>
        <w:t xml:space="preserve"> Junio 2026 </w:t>
      </w:r>
    </w:p>
    <w:p w14:paraId="7FFA6BE7" w14:textId="77777777" w:rsidR="00205D8C" w:rsidRDefault="00205D8C">
      <w:pPr>
        <w:pStyle w:val="NormalWeb"/>
        <w:rPr>
          <w:rFonts w:ascii="Calibri" w:hAnsi="Calibri" w:cs="Calibri"/>
          <w:sz w:val="22"/>
          <w:szCs w:val="22"/>
        </w:rPr>
      </w:pPr>
      <w:r>
        <w:rPr>
          <w:rStyle w:val="Fuerte"/>
          <w:rFonts w:ascii="Calibri" w:hAnsi="Calibri" w:cs="Calibri"/>
          <w:sz w:val="22"/>
          <w:szCs w:val="22"/>
        </w:rPr>
        <w:t>Periodo Abarcado:</w:t>
      </w:r>
      <w:r>
        <w:rPr>
          <w:rFonts w:ascii="Calibri" w:hAnsi="Calibri" w:cs="Calibri"/>
          <w:sz w:val="22"/>
          <w:szCs w:val="22"/>
        </w:rPr>
        <w:t xml:space="preserve"> Abril - Mayo - Junio 2026 </w:t>
      </w:r>
    </w:p>
    <w:p w14:paraId="450A7302" w14:textId="77777777" w:rsidR="00205D8C" w:rsidRDefault="00205D8C">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3CEADFC7" w14:textId="77777777" w:rsidR="00205D8C" w:rsidRDefault="00205D8C">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 </w:t>
      </w:r>
    </w:p>
    <w:p w14:paraId="1997BD25" w14:textId="77777777" w:rsidR="00205D8C" w:rsidRDefault="00205D8C">
      <w:pPr>
        <w:pStyle w:val="NormalWeb"/>
        <w:rPr>
          <w:rFonts w:ascii="Calibri" w:hAnsi="Calibri" w:cs="Calibri"/>
          <w:sz w:val="22"/>
          <w:szCs w:val="22"/>
        </w:rPr>
      </w:pPr>
      <w:r>
        <w:rPr>
          <w:rStyle w:val="Fuerte"/>
          <w:rFonts w:ascii="Calibri" w:hAnsi="Calibri" w:cs="Calibri"/>
          <w:sz w:val="22"/>
          <w:szCs w:val="22"/>
        </w:rPr>
        <w:t>Clasificación:</w:t>
      </w:r>
      <w:r>
        <w:rPr>
          <w:rFonts w:ascii="Calibri" w:hAnsi="Calibri" w:cs="Calibri"/>
          <w:sz w:val="22"/>
          <w:szCs w:val="22"/>
        </w:rPr>
        <w:t xml:space="preserve"> Confidencial / Acta de Transferencia Tecnológica Definitiva </w:t>
      </w:r>
    </w:p>
    <w:p w14:paraId="6D4004D6" w14:textId="77777777" w:rsidR="00205D8C" w:rsidRDefault="00205D8C">
      <w:pPr>
        <w:rPr>
          <w:rFonts w:ascii="Calibri" w:eastAsia="Times New Roman" w:hAnsi="Calibri" w:cs="Calibri"/>
        </w:rPr>
      </w:pPr>
      <w:r>
        <w:rPr>
          <w:rFonts w:ascii="Calibri" w:eastAsia="Times New Roman" w:hAnsi="Calibri" w:cs="Calibri"/>
        </w:rPr>
        <w:pict w14:anchorId="38F2F8B8">
          <v:rect id="_x0000_i1025" style="width:0;height:1.5pt" o:hralign="center" o:hrstd="t" o:hr="t" fillcolor="#a0a0a0" stroked="f"/>
        </w:pict>
      </w:r>
    </w:p>
    <w:p w14:paraId="4C06821F" w14:textId="77777777" w:rsidR="00205D8C" w:rsidRDefault="00205D8C">
      <w:pPr>
        <w:pStyle w:val="Ttulo2"/>
        <w:rPr>
          <w:rFonts w:ascii="Calibri" w:eastAsia="Times New Roman" w:hAnsi="Calibri" w:cs="Calibri"/>
        </w:rPr>
      </w:pPr>
      <w:r>
        <w:rPr>
          <w:rFonts w:ascii="Calibri" w:eastAsia="Times New Roman" w:hAnsi="Calibri" w:cs="Calibri"/>
        </w:rPr>
        <w:t>1. Declaración Definitiva de Cierre Operativo</w:t>
      </w:r>
    </w:p>
    <w:p w14:paraId="30BACD2F" w14:textId="77777777" w:rsidR="00205D8C" w:rsidRDefault="00205D8C">
      <w:pPr>
        <w:pStyle w:val="NormalWeb"/>
        <w:rPr>
          <w:rFonts w:ascii="Calibri" w:hAnsi="Calibri" w:cs="Calibri"/>
          <w:sz w:val="22"/>
          <w:szCs w:val="22"/>
        </w:rPr>
      </w:pPr>
      <w:r>
        <w:rPr>
          <w:rFonts w:ascii="Calibri" w:hAnsi="Calibri" w:cs="Calibri"/>
          <w:sz w:val="22"/>
          <w:szCs w:val="22"/>
        </w:rPr>
        <w:t xml:space="preserve">El presente documento constituye el acta oficial e inventario técnico correspondiente a la capa de persistencia y bases de datos del sistema </w:t>
      </w:r>
      <w:r>
        <w:rPr>
          <w:rStyle w:val="Fuerte"/>
          <w:rFonts w:ascii="Calibri" w:hAnsi="Calibri" w:cs="Calibri"/>
          <w:sz w:val="22"/>
          <w:szCs w:val="22"/>
        </w:rPr>
        <w:t>MUSEMS-PU</w:t>
      </w:r>
      <w:r>
        <w:rPr>
          <w:rFonts w:ascii="Calibri" w:hAnsi="Calibri" w:cs="Calibri"/>
          <w:sz w:val="22"/>
          <w:szCs w:val="22"/>
        </w:rPr>
        <w:t xml:space="preserve">. Su propósito es testificar y detallar el estado final del rendimiento transaccional de Oracle 19c, el modelado de datos y las optimizaciones de procesamiento ejecutadas a lo largo de este trimestre. </w:t>
      </w:r>
    </w:p>
    <w:p w14:paraId="095E4976" w14:textId="77777777" w:rsidR="00205D8C" w:rsidRDefault="00205D8C">
      <w:pPr>
        <w:pStyle w:val="NormalWeb"/>
        <w:rPr>
          <w:rFonts w:ascii="Calibri" w:hAnsi="Calibri" w:cs="Calibri"/>
          <w:sz w:val="22"/>
          <w:szCs w:val="22"/>
        </w:rPr>
      </w:pPr>
      <w:r>
        <w:rPr>
          <w:rFonts w:ascii="Calibri" w:hAnsi="Calibri" w:cs="Calibri"/>
          <w:sz w:val="22"/>
          <w:szCs w:val="22"/>
        </w:rPr>
        <w:t>Se certifica que la base de datos se entrega estabilizada, depurada y escalable. Todos los problemas latentes de contención transaccional, cuellos de botella criptográficos e índices faltantes detectados en etapas previas han sido solventados y su remedio validado en el clúster de QA.</w:t>
      </w:r>
    </w:p>
    <w:p w14:paraId="0134EEFD" w14:textId="77777777" w:rsidR="00205D8C" w:rsidRDefault="00205D8C">
      <w:pPr>
        <w:rPr>
          <w:rFonts w:ascii="Calibri" w:eastAsia="Times New Roman" w:hAnsi="Calibri" w:cs="Calibri"/>
        </w:rPr>
      </w:pPr>
      <w:r>
        <w:rPr>
          <w:rFonts w:ascii="Calibri" w:eastAsia="Times New Roman" w:hAnsi="Calibri" w:cs="Calibri"/>
        </w:rPr>
        <w:pict w14:anchorId="5C3C6E34">
          <v:rect id="_x0000_i1026" style="width:0;height:1.5pt" o:hralign="center" o:hrstd="t" o:hr="t" fillcolor="#a0a0a0" stroked="f"/>
        </w:pict>
      </w:r>
    </w:p>
    <w:p w14:paraId="66C11F73" w14:textId="77777777" w:rsidR="00205D8C" w:rsidRDefault="00205D8C">
      <w:pPr>
        <w:pStyle w:val="Ttulo2"/>
        <w:rPr>
          <w:rFonts w:ascii="Calibri" w:eastAsia="Times New Roman" w:hAnsi="Calibri" w:cs="Calibri"/>
        </w:rPr>
      </w:pPr>
      <w:r>
        <w:rPr>
          <w:rFonts w:ascii="Calibri" w:eastAsia="Times New Roman" w:hAnsi="Calibri" w:cs="Calibri"/>
        </w:rPr>
        <w:t>2. Refactorización de Capa de Autenticación (Resolución Forense del Issue 55)</w:t>
      </w:r>
    </w:p>
    <w:p w14:paraId="19E059D2" w14:textId="77777777" w:rsidR="00205D8C" w:rsidRDefault="00205D8C">
      <w:pPr>
        <w:pStyle w:val="NormalWeb"/>
        <w:rPr>
          <w:rFonts w:ascii="Calibri" w:hAnsi="Calibri" w:cs="Calibri"/>
          <w:sz w:val="22"/>
          <w:szCs w:val="22"/>
        </w:rPr>
      </w:pPr>
      <w:r>
        <w:rPr>
          <w:rFonts w:ascii="Calibri" w:hAnsi="Calibri" w:cs="Calibri"/>
          <w:sz w:val="22"/>
          <w:szCs w:val="22"/>
        </w:rPr>
        <w:t>Uno de los hitos tecnológicos más trascendentales de este cierre de consultoría fue la remodelación profunda del esquema de acceso para el Frontend, que saturaba innecesariamente los recursos computacionales durante la validación asíncrona de credenciales de los perfiles.</w:t>
      </w:r>
    </w:p>
    <w:p w14:paraId="4EE28077" w14:textId="77777777" w:rsidR="00205D8C" w:rsidRDefault="00205D8C">
      <w:pPr>
        <w:pStyle w:val="Ttulo3"/>
        <w:rPr>
          <w:rFonts w:ascii="Calibri" w:eastAsia="Times New Roman" w:hAnsi="Calibri" w:cs="Calibri"/>
        </w:rPr>
      </w:pPr>
      <w:r>
        <w:rPr>
          <w:rFonts w:ascii="Calibri" w:eastAsia="Times New Roman" w:hAnsi="Calibri" w:cs="Calibri"/>
        </w:rPr>
        <w:t>2.1 Contexto y Diagnóstico del Pasivo Técnico</w:t>
      </w:r>
    </w:p>
    <w:p w14:paraId="62673164" w14:textId="77777777" w:rsidR="00205D8C" w:rsidRDefault="00205D8C">
      <w:pPr>
        <w:pStyle w:val="NormalWeb"/>
        <w:rPr>
          <w:rFonts w:ascii="Calibri" w:hAnsi="Calibri" w:cs="Calibri"/>
          <w:sz w:val="22"/>
          <w:szCs w:val="22"/>
        </w:rPr>
      </w:pPr>
      <w:r>
        <w:rPr>
          <w:rFonts w:ascii="Calibri" w:hAnsi="Calibri" w:cs="Calibri"/>
          <w:sz w:val="22"/>
          <w:szCs w:val="22"/>
        </w:rPr>
        <w:t xml:space="preserve">Durante los monitoreos transaccionales (abril y mayo), se descubrió que los tiempos de respuesta del endpoint </w:t>
      </w:r>
      <w:r>
        <w:rPr>
          <w:rStyle w:val="CdigoHTML"/>
        </w:rPr>
        <w:t>/login</w:t>
      </w:r>
      <w:r>
        <w:rPr>
          <w:rFonts w:ascii="Calibri" w:hAnsi="Calibri" w:cs="Calibri"/>
          <w:sz w:val="22"/>
          <w:szCs w:val="22"/>
        </w:rPr>
        <w:t xml:space="preserve"> excedían los parámetros SLA gubernamentales (&gt;1.5s). El *profiling* arrojó que la librería criptográfica </w:t>
      </w:r>
      <w:r>
        <w:rPr>
          <w:rStyle w:val="CdigoHTML"/>
        </w:rPr>
        <w:t>passlib</w:t>
      </w:r>
      <w:r>
        <w:rPr>
          <w:rFonts w:ascii="Calibri" w:hAnsi="Calibri" w:cs="Calibri"/>
          <w:sz w:val="22"/>
          <w:szCs w:val="22"/>
        </w:rPr>
        <w:t xml:space="preserve"> (obsoleta y sin mantenimiento) monopolizaba el *GIL* (Global Interpreter Lock) de Python, encolando y penalizando las transacciones asíncronas hacia el registro maestro en Oracle (</w:t>
      </w:r>
      <w:r>
        <w:rPr>
          <w:rStyle w:val="CdigoHTML"/>
        </w:rPr>
        <w:t>CTMU061_USUARIO</w:t>
      </w:r>
      <w:r>
        <w:rPr>
          <w:rFonts w:ascii="Calibri" w:hAnsi="Calibri" w:cs="Calibri"/>
          <w:sz w:val="22"/>
          <w:szCs w:val="22"/>
        </w:rPr>
        <w:t>). Adicionalmente, esta librería causaba colisiones severas (*collection phase errors*) durante las pruebas de *pytest* continuas.</w:t>
      </w:r>
    </w:p>
    <w:p w14:paraId="2BDEB334" w14:textId="77777777" w:rsidR="00205D8C" w:rsidRDefault="00205D8C">
      <w:pPr>
        <w:pStyle w:val="Ttulo3"/>
        <w:rPr>
          <w:rFonts w:ascii="Calibri" w:eastAsia="Times New Roman" w:hAnsi="Calibri" w:cs="Calibri"/>
        </w:rPr>
      </w:pPr>
      <w:r>
        <w:rPr>
          <w:rFonts w:ascii="Calibri" w:eastAsia="Times New Roman" w:hAnsi="Calibri" w:cs="Calibri"/>
        </w:rPr>
        <w:t>2.2 Estrategia de Mitigación y Resultado</w:t>
      </w:r>
    </w:p>
    <w:p w14:paraId="198D9E9F" w14:textId="77777777" w:rsidR="00205D8C" w:rsidRDefault="00205D8C" w:rsidP="00205D8C">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Erradicación y Migración:</w:t>
      </w:r>
      <w:r>
        <w:rPr>
          <w:rFonts w:ascii="Calibri" w:eastAsia="Times New Roman" w:hAnsi="Calibri" w:cs="Calibri"/>
        </w:rPr>
        <w:t xml:space="preserve"> Se eliminó permanentemente </w:t>
      </w:r>
      <w:r>
        <w:rPr>
          <w:rStyle w:val="CdigoHTML"/>
        </w:rPr>
        <w:t>passlib</w:t>
      </w:r>
      <w:r>
        <w:rPr>
          <w:rFonts w:ascii="Calibri" w:eastAsia="Times New Roman" w:hAnsi="Calibri" w:cs="Calibri"/>
        </w:rPr>
        <w:t xml:space="preserve"> y se transicionó todo el ciclo de validación de contraseñas hacia el paquete puro nativo </w:t>
      </w:r>
      <w:r>
        <w:rPr>
          <w:rStyle w:val="CdigoHTML"/>
          <w:b/>
          <w:bCs/>
        </w:rPr>
        <w:t>bcrypt</w:t>
      </w:r>
      <w:r>
        <w:rPr>
          <w:rFonts w:ascii="Calibri" w:eastAsia="Times New Roman" w:hAnsi="Calibri" w:cs="Calibri"/>
        </w:rPr>
        <w:t>.</w:t>
      </w:r>
    </w:p>
    <w:p w14:paraId="690AED3C" w14:textId="77777777" w:rsidR="00205D8C" w:rsidRDefault="00205D8C" w:rsidP="00205D8C">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Ahorro de Ciclos de CPU:</w:t>
      </w:r>
      <w:r>
        <w:rPr>
          <w:rFonts w:ascii="Calibri" w:eastAsia="Times New Roman" w:hAnsi="Calibri" w:cs="Calibri"/>
        </w:rPr>
        <w:t xml:space="preserve"> Esta refactorización logró un ahorro comprobable del 18% al 25% en ciclos de procesamiento de CPU del Backend, permitiendo retornar los códigos </w:t>
      </w:r>
      <w:r>
        <w:rPr>
          <w:rStyle w:val="CdigoHTML"/>
        </w:rPr>
        <w:t>HTTP 200</w:t>
      </w:r>
      <w:r>
        <w:rPr>
          <w:rFonts w:ascii="Calibri" w:eastAsia="Times New Roman" w:hAnsi="Calibri" w:cs="Calibri"/>
        </w:rPr>
        <w:t xml:space="preserve"> y expidiendo los JWT en menos de 200ms bajo concurrencia normal.</w:t>
      </w:r>
    </w:p>
    <w:p w14:paraId="633C0ED5" w14:textId="77777777" w:rsidR="00205D8C" w:rsidRDefault="00205D8C" w:rsidP="00205D8C">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Tolerancia a Ataques de Diccionario (DoS Criptográfico):</w:t>
      </w:r>
      <w:r>
        <w:rPr>
          <w:rFonts w:ascii="Calibri" w:eastAsia="Times New Roman" w:hAnsi="Calibri" w:cs="Calibri"/>
        </w:rPr>
        <w:t xml:space="preserve"> Esta mejora no solo aceleró el acceso, sino que blindó la arquitectura contra saturaciones (*Denial of Service*) ocasionadas por ataques iterativos sobre hashes complejos.</w:t>
      </w:r>
    </w:p>
    <w:p w14:paraId="1211DAC6" w14:textId="77777777" w:rsidR="00205D8C" w:rsidRDefault="00205D8C">
      <w:pPr>
        <w:rPr>
          <w:rFonts w:ascii="Calibri" w:eastAsia="Times New Roman" w:hAnsi="Calibri" w:cs="Calibri"/>
        </w:rPr>
      </w:pPr>
      <w:r>
        <w:rPr>
          <w:rFonts w:ascii="Calibri" w:eastAsia="Times New Roman" w:hAnsi="Calibri" w:cs="Calibri"/>
        </w:rPr>
        <w:pict w14:anchorId="155CA60C">
          <v:rect id="_x0000_i1027" style="width:0;height:1.5pt" o:hralign="center" o:hrstd="t" o:hr="t" fillcolor="#a0a0a0" stroked="f"/>
        </w:pict>
      </w:r>
    </w:p>
    <w:p w14:paraId="520285CA" w14:textId="77777777" w:rsidR="00205D8C" w:rsidRDefault="00205D8C">
      <w:pPr>
        <w:pStyle w:val="Ttulo2"/>
        <w:rPr>
          <w:rFonts w:ascii="Calibri" w:eastAsia="Times New Roman" w:hAnsi="Calibri" w:cs="Calibri"/>
        </w:rPr>
      </w:pPr>
      <w:r>
        <w:rPr>
          <w:rFonts w:ascii="Calibri" w:eastAsia="Times New Roman" w:hAnsi="Calibri" w:cs="Calibri"/>
        </w:rPr>
        <w:t>3. Topología de Conexión y Resiliencia (Thin Mode Pool)</w:t>
      </w:r>
    </w:p>
    <w:p w14:paraId="45D38880" w14:textId="77777777" w:rsidR="00205D8C" w:rsidRDefault="00205D8C">
      <w:pPr>
        <w:pStyle w:val="NormalWeb"/>
        <w:rPr>
          <w:rFonts w:ascii="Calibri" w:hAnsi="Calibri" w:cs="Calibri"/>
          <w:sz w:val="22"/>
          <w:szCs w:val="22"/>
        </w:rPr>
      </w:pPr>
      <w:r>
        <w:rPr>
          <w:rFonts w:ascii="Calibri" w:hAnsi="Calibri" w:cs="Calibri"/>
          <w:sz w:val="22"/>
          <w:szCs w:val="22"/>
        </w:rPr>
        <w:t>El acceso a la base de datos de producción y QA fue completamente rediseñado para asegurar que la plataforma pueda sostener consultas de Big Data provenientes de múltiples analistas nacionales sin agotar las conexiones del RAC de Oracle.</w:t>
      </w:r>
    </w:p>
    <w:p w14:paraId="5F28627A" w14:textId="77777777" w:rsidR="00205D8C" w:rsidRDefault="00205D8C" w:rsidP="00205D8C">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Eliminación del Cliente Pesado (Thick Mode):</w:t>
      </w:r>
      <w:r>
        <w:rPr>
          <w:rFonts w:ascii="Calibri" w:eastAsia="Times New Roman" w:hAnsi="Calibri" w:cs="Calibri"/>
        </w:rPr>
        <w:t xml:space="preserve"> Se extirpó la dependencia del software de cliente Oracle clásico, pasando a utilizar exclusivamente la conexión </w:t>
      </w:r>
      <w:r>
        <w:rPr>
          <w:rStyle w:val="CdigoHTML"/>
        </w:rPr>
        <w:t>oracledb</w:t>
      </w:r>
      <w:r>
        <w:rPr>
          <w:rFonts w:ascii="Calibri" w:eastAsia="Times New Roman" w:hAnsi="Calibri" w:cs="Calibri"/>
        </w:rPr>
        <w:t xml:space="preserve"> en </w:t>
      </w:r>
      <w:r>
        <w:rPr>
          <w:rStyle w:val="Fuerte"/>
          <w:rFonts w:ascii="Calibri" w:eastAsia="Times New Roman" w:hAnsi="Calibri" w:cs="Calibri"/>
        </w:rPr>
        <w:t>Thin Mode</w:t>
      </w:r>
      <w:r>
        <w:rPr>
          <w:rFonts w:ascii="Calibri" w:eastAsia="Times New Roman" w:hAnsi="Calibri" w:cs="Calibri"/>
        </w:rPr>
        <w:t>, reduciendo al mínimo la huella de memoria (Footprint) del contenedor Docker del backend.</w:t>
      </w:r>
    </w:p>
    <w:p w14:paraId="2B56C334" w14:textId="77777777" w:rsidR="00205D8C" w:rsidRDefault="00205D8C" w:rsidP="00205D8C">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Pool de Conexiones Multiplexado:</w:t>
      </w:r>
      <w:r>
        <w:rPr>
          <w:rFonts w:ascii="Calibri" w:eastAsia="Times New Roman" w:hAnsi="Calibri" w:cs="Calibri"/>
        </w:rPr>
        <w:t xml:space="preserve"> Se instituyó una alberca de conexiones asíncrona de FastAPI configurada para reusar y reciclar canales de *sockets* dormidos, reduciendo la penalización de milisegundos requeridos por el *Three-way Handshake* TCP a nivel base de datos.</w:t>
      </w:r>
    </w:p>
    <w:p w14:paraId="3A8B7669" w14:textId="77777777" w:rsidR="00205D8C" w:rsidRDefault="00205D8C" w:rsidP="00205D8C">
      <w:pPr>
        <w:numPr>
          <w:ilvl w:val="0"/>
          <w:numId w:val="14"/>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Despliegue Certificado QA:</w:t>
      </w:r>
      <w:r>
        <w:rPr>
          <w:rFonts w:ascii="Calibri" w:eastAsia="Times New Roman" w:hAnsi="Calibri" w:cs="Calibri"/>
        </w:rPr>
        <w:t xml:space="preserve"> El comportamiento asintótico de esta conexión ha sido demostrado y liberado bajo la cadena de conexión QA Oficial: </w:t>
      </w:r>
      <w:r>
        <w:rPr>
          <w:rStyle w:val="CdigoHTML"/>
        </w:rPr>
        <w:t>168.255.101.67:1530/MUSEMSD</w:t>
      </w:r>
      <w:r>
        <w:rPr>
          <w:rFonts w:ascii="Calibri" w:eastAsia="Times New Roman" w:hAnsi="Calibri" w:cs="Calibri"/>
        </w:rPr>
        <w:t xml:space="preserve">, alojando el esquema productivo </w:t>
      </w:r>
      <w:r>
        <w:rPr>
          <w:rStyle w:val="CdigoHTML"/>
        </w:rPr>
        <w:t>MUSEMSQA</w:t>
      </w:r>
      <w:r>
        <w:rPr>
          <w:rFonts w:ascii="Calibri" w:eastAsia="Times New Roman" w:hAnsi="Calibri" w:cs="Calibri"/>
        </w:rPr>
        <w:t>.</w:t>
      </w:r>
    </w:p>
    <w:p w14:paraId="134A6FCA" w14:textId="77777777" w:rsidR="00205D8C" w:rsidRDefault="00205D8C">
      <w:pPr>
        <w:rPr>
          <w:rFonts w:ascii="Calibri" w:eastAsia="Times New Roman" w:hAnsi="Calibri" w:cs="Calibri"/>
        </w:rPr>
      </w:pPr>
      <w:r>
        <w:rPr>
          <w:rFonts w:ascii="Calibri" w:eastAsia="Times New Roman" w:hAnsi="Calibri" w:cs="Calibri"/>
        </w:rPr>
        <w:pict w14:anchorId="1E5AD614">
          <v:rect id="_x0000_i1028" style="width:0;height:1.5pt" o:hralign="center" o:hrstd="t" o:hr="t" fillcolor="#a0a0a0" stroked="f"/>
        </w:pict>
      </w:r>
    </w:p>
    <w:p w14:paraId="29AF6376" w14:textId="77777777" w:rsidR="00205D8C" w:rsidRDefault="00205D8C">
      <w:pPr>
        <w:pStyle w:val="Ttulo2"/>
        <w:rPr>
          <w:rFonts w:ascii="Calibri" w:eastAsia="Times New Roman" w:hAnsi="Calibri" w:cs="Calibri"/>
        </w:rPr>
      </w:pPr>
      <w:r>
        <w:rPr>
          <w:rFonts w:ascii="Calibri" w:eastAsia="Times New Roman" w:hAnsi="Calibri" w:cs="Calibri"/>
        </w:rPr>
        <w:t>4. Consolidación del Ecosistema Analítico (Las 9 Vistas Oficiales)</w:t>
      </w:r>
    </w:p>
    <w:p w14:paraId="48877FDB" w14:textId="77777777" w:rsidR="00205D8C" w:rsidRDefault="00205D8C">
      <w:pPr>
        <w:pStyle w:val="NormalWeb"/>
        <w:rPr>
          <w:rFonts w:ascii="Calibri" w:hAnsi="Calibri" w:cs="Calibri"/>
          <w:sz w:val="22"/>
          <w:szCs w:val="22"/>
        </w:rPr>
      </w:pPr>
      <w:r>
        <w:rPr>
          <w:rFonts w:ascii="Calibri" w:hAnsi="Calibri" w:cs="Calibri"/>
          <w:sz w:val="22"/>
          <w:szCs w:val="22"/>
        </w:rPr>
        <w:t xml:space="preserve">El verdadero activo de valor (Data Asset) de MUSEMS radica en sus capas lógicas. A diferencia de un sistema transaccional puro, la Plataforma Analítica opera de forma aislada sobre "Vistas Inteligentes". Se formaliza la entrega de un catálogo consolidado de </w:t>
      </w:r>
      <w:r>
        <w:rPr>
          <w:rStyle w:val="Fuerte"/>
          <w:rFonts w:ascii="Calibri" w:hAnsi="Calibri" w:cs="Calibri"/>
          <w:sz w:val="22"/>
          <w:szCs w:val="22"/>
        </w:rPr>
        <w:t>9 Vistas Analíticas Oficiales</w:t>
      </w:r>
      <w:r>
        <w:rPr>
          <w:rFonts w:ascii="Calibri" w:hAnsi="Calibri" w:cs="Calibri"/>
          <w:sz w:val="22"/>
          <w:szCs w:val="22"/>
        </w:rPr>
        <w:t>.</w:t>
      </w:r>
    </w:p>
    <w:p w14:paraId="1140D42C" w14:textId="77777777" w:rsidR="00205D8C" w:rsidRDefault="00205D8C">
      <w:pPr>
        <w:pStyle w:val="Ttulo3"/>
        <w:rPr>
          <w:rFonts w:ascii="Calibri" w:eastAsia="Times New Roman" w:hAnsi="Calibri" w:cs="Calibri"/>
        </w:rPr>
      </w:pPr>
      <w:r>
        <w:rPr>
          <w:rFonts w:ascii="Calibri" w:eastAsia="Times New Roman" w:hAnsi="Calibri" w:cs="Calibri"/>
        </w:rPr>
        <w:t>4.1 Inventario Estratégico de Vistas de BI</w:t>
      </w:r>
    </w:p>
    <w:p w14:paraId="7F1846C4" w14:textId="77777777" w:rsidR="00205D8C" w:rsidRDefault="00205D8C">
      <w:pPr>
        <w:pStyle w:val="NormalWeb"/>
        <w:rPr>
          <w:rFonts w:ascii="Calibri" w:hAnsi="Calibri" w:cs="Calibri"/>
          <w:sz w:val="22"/>
          <w:szCs w:val="22"/>
        </w:rPr>
      </w:pPr>
      <w:r>
        <w:rPr>
          <w:rFonts w:ascii="Calibri" w:hAnsi="Calibri" w:cs="Calibri"/>
          <w:sz w:val="22"/>
          <w:szCs w:val="22"/>
        </w:rPr>
        <w:t xml:space="preserve">1. </w:t>
      </w:r>
      <w:r>
        <w:rPr>
          <w:rStyle w:val="CdigoHTML"/>
        </w:rPr>
        <w:t>VW_BI_MUSEMS_ESTADISTICA_MAESTRA</w:t>
      </w:r>
      <w:r>
        <w:rPr>
          <w:rFonts w:ascii="Calibri" w:hAnsi="Calibri" w:cs="Calibri"/>
          <w:sz w:val="22"/>
          <w:szCs w:val="22"/>
        </w:rPr>
        <w:t>: Matriz troncal demográfica poblacional. (Asociada al CU-BI-01)</w:t>
      </w:r>
    </w:p>
    <w:p w14:paraId="615FC28A" w14:textId="77777777" w:rsidR="00205D8C" w:rsidRDefault="00205D8C">
      <w:pPr>
        <w:pStyle w:val="NormalWeb"/>
        <w:rPr>
          <w:rFonts w:ascii="Calibri" w:hAnsi="Calibri" w:cs="Calibri"/>
          <w:sz w:val="22"/>
          <w:szCs w:val="22"/>
        </w:rPr>
      </w:pPr>
      <w:r>
        <w:rPr>
          <w:rFonts w:ascii="Calibri" w:hAnsi="Calibri" w:cs="Calibri"/>
          <w:sz w:val="22"/>
          <w:szCs w:val="22"/>
        </w:rPr>
        <w:t xml:space="preserve">2. </w:t>
      </w:r>
      <w:r>
        <w:rPr>
          <w:rStyle w:val="CdigoHTML"/>
        </w:rPr>
        <w:t>VW_BI_MUSEMS_BAJAS</w:t>
      </w:r>
      <w:r>
        <w:rPr>
          <w:rFonts w:ascii="Calibri" w:hAnsi="Calibri" w:cs="Calibri"/>
          <w:sz w:val="22"/>
          <w:szCs w:val="22"/>
        </w:rPr>
        <w:t>: Vista con filtros cruzados para detectar causales primarias de deserción en media superior.</w:t>
      </w:r>
    </w:p>
    <w:p w14:paraId="31B7135B" w14:textId="77777777" w:rsidR="00205D8C" w:rsidRDefault="00205D8C">
      <w:pPr>
        <w:pStyle w:val="NormalWeb"/>
        <w:rPr>
          <w:rFonts w:ascii="Calibri" w:hAnsi="Calibri" w:cs="Calibri"/>
          <w:sz w:val="22"/>
          <w:szCs w:val="22"/>
        </w:rPr>
      </w:pPr>
      <w:r>
        <w:rPr>
          <w:rFonts w:ascii="Calibri" w:hAnsi="Calibri" w:cs="Calibri"/>
          <w:sz w:val="22"/>
          <w:szCs w:val="22"/>
        </w:rPr>
        <w:t xml:space="preserve">3. </w:t>
      </w:r>
      <w:r>
        <w:rPr>
          <w:rStyle w:val="CdigoHTML"/>
        </w:rPr>
        <w:t>VW_BI_MUSEMS_CALIDAD_DATOS</w:t>
      </w:r>
      <w:r>
        <w:rPr>
          <w:rFonts w:ascii="Calibri" w:hAnsi="Calibri" w:cs="Calibri"/>
          <w:sz w:val="22"/>
          <w:szCs w:val="22"/>
        </w:rPr>
        <w:t>: Vista de auditoría interna de registros ETL para control de errores y datos basura (Asociada a CU-ETL-02).</w:t>
      </w:r>
    </w:p>
    <w:p w14:paraId="576E6120" w14:textId="77777777" w:rsidR="00205D8C" w:rsidRDefault="00205D8C">
      <w:pPr>
        <w:pStyle w:val="NormalWeb"/>
        <w:rPr>
          <w:rFonts w:ascii="Calibri" w:hAnsi="Calibri" w:cs="Calibri"/>
          <w:sz w:val="22"/>
          <w:szCs w:val="22"/>
        </w:rPr>
      </w:pPr>
      <w:r>
        <w:rPr>
          <w:rFonts w:ascii="Calibri" w:hAnsi="Calibri" w:cs="Calibri"/>
          <w:sz w:val="22"/>
          <w:szCs w:val="22"/>
        </w:rPr>
        <w:t xml:space="preserve">4. </w:t>
      </w:r>
      <w:r>
        <w:rPr>
          <w:rStyle w:val="CdigoHTML"/>
        </w:rPr>
        <w:t>VW_BI_MUSEMS_AUDITORIA_DUPLICADOS</w:t>
      </w:r>
      <w:r>
        <w:rPr>
          <w:rFonts w:ascii="Calibri" w:hAnsi="Calibri" w:cs="Calibri"/>
          <w:sz w:val="22"/>
          <w:szCs w:val="22"/>
        </w:rPr>
        <w:t>: Exposición de registros duplicados simultáneos en múltiples entidades (Filtro Anti-Fraude).</w:t>
      </w:r>
    </w:p>
    <w:p w14:paraId="4090E503" w14:textId="77777777" w:rsidR="00205D8C" w:rsidRDefault="00205D8C">
      <w:pPr>
        <w:pStyle w:val="NormalWeb"/>
        <w:rPr>
          <w:rFonts w:ascii="Calibri" w:hAnsi="Calibri" w:cs="Calibri"/>
          <w:sz w:val="22"/>
          <w:szCs w:val="22"/>
        </w:rPr>
      </w:pPr>
      <w:r>
        <w:rPr>
          <w:rFonts w:ascii="Calibri" w:hAnsi="Calibri" w:cs="Calibri"/>
          <w:sz w:val="22"/>
          <w:szCs w:val="22"/>
        </w:rPr>
        <w:t xml:space="preserve">5. </w:t>
      </w:r>
      <w:r>
        <w:rPr>
          <w:rStyle w:val="CdigoHTML"/>
        </w:rPr>
        <w:t>VW_BI_MUSEMS_REINSCRIPCIONES</w:t>
      </w:r>
      <w:r>
        <w:rPr>
          <w:rFonts w:ascii="Calibri" w:hAnsi="Calibri" w:cs="Calibri"/>
          <w:sz w:val="22"/>
          <w:szCs w:val="22"/>
        </w:rPr>
        <w:t>: Línea de tiempo (Timeline) migratoria inter-subsistemas para análisis longitudinal de movimiento.</w:t>
      </w:r>
    </w:p>
    <w:p w14:paraId="11AE7C82" w14:textId="77777777" w:rsidR="00205D8C" w:rsidRDefault="00205D8C">
      <w:pPr>
        <w:pStyle w:val="NormalWeb"/>
        <w:rPr>
          <w:rFonts w:ascii="Calibri" w:hAnsi="Calibri" w:cs="Calibri"/>
          <w:sz w:val="22"/>
          <w:szCs w:val="22"/>
        </w:rPr>
      </w:pPr>
      <w:r>
        <w:rPr>
          <w:rFonts w:ascii="Calibri" w:hAnsi="Calibri" w:cs="Calibri"/>
          <w:sz w:val="22"/>
          <w:szCs w:val="22"/>
        </w:rPr>
        <w:t xml:space="preserve">6. </w:t>
      </w:r>
      <w:r>
        <w:rPr>
          <w:rStyle w:val="CdigoHTML"/>
        </w:rPr>
        <w:t>VW_BI_MUSEMS_COBERTURA_SUBSISTEMAS</w:t>
      </w:r>
      <w:r>
        <w:rPr>
          <w:rFonts w:ascii="Calibri" w:hAnsi="Calibri" w:cs="Calibri"/>
          <w:sz w:val="22"/>
          <w:szCs w:val="22"/>
        </w:rPr>
        <w:t>: Vista agregada calculando porcentajes de cobertura cruzados vs las proyecciones de CONAPO.</w:t>
      </w:r>
    </w:p>
    <w:p w14:paraId="6DEB4796" w14:textId="77777777" w:rsidR="00205D8C" w:rsidRDefault="00205D8C">
      <w:pPr>
        <w:pStyle w:val="NormalWeb"/>
        <w:rPr>
          <w:rFonts w:ascii="Calibri" w:hAnsi="Calibri" w:cs="Calibri"/>
          <w:sz w:val="22"/>
          <w:szCs w:val="22"/>
        </w:rPr>
      </w:pPr>
      <w:r>
        <w:rPr>
          <w:rFonts w:ascii="Calibri" w:hAnsi="Calibri" w:cs="Calibri"/>
          <w:sz w:val="22"/>
          <w:szCs w:val="22"/>
        </w:rPr>
        <w:t xml:space="preserve">7. </w:t>
      </w:r>
      <w:r>
        <w:rPr>
          <w:rStyle w:val="CdigoHTML"/>
        </w:rPr>
        <w:t>VW_BI_MUSEMS_ALERTAS_TEMPRANAS</w:t>
      </w:r>
      <w:r>
        <w:rPr>
          <w:rFonts w:ascii="Calibri" w:hAnsi="Calibri" w:cs="Calibri"/>
          <w:sz w:val="22"/>
          <w:szCs w:val="22"/>
        </w:rPr>
        <w:t>: Alertas de retención proyectando probabilidad estadística de abandono.</w:t>
      </w:r>
    </w:p>
    <w:p w14:paraId="762646D1" w14:textId="77777777" w:rsidR="00205D8C" w:rsidRDefault="00205D8C">
      <w:pPr>
        <w:pStyle w:val="NormalWeb"/>
        <w:rPr>
          <w:rFonts w:ascii="Calibri" w:hAnsi="Calibri" w:cs="Calibri"/>
          <w:sz w:val="22"/>
          <w:szCs w:val="22"/>
        </w:rPr>
      </w:pPr>
      <w:r>
        <w:rPr>
          <w:rFonts w:ascii="Calibri" w:hAnsi="Calibri" w:cs="Calibri"/>
          <w:sz w:val="22"/>
          <w:szCs w:val="22"/>
        </w:rPr>
        <w:t xml:space="preserve">8. </w:t>
      </w:r>
      <w:r>
        <w:rPr>
          <w:rStyle w:val="CdigoHTML"/>
        </w:rPr>
        <w:t>VW_BI_MUSEMS_DESEMPENO_ACADEMICO</w:t>
      </w:r>
      <w:r>
        <w:rPr>
          <w:rFonts w:ascii="Calibri" w:hAnsi="Calibri" w:cs="Calibri"/>
          <w:sz w:val="22"/>
          <w:szCs w:val="22"/>
        </w:rPr>
        <w:t>: Promedios ponderados por clúster escolar y semestre.</w:t>
      </w:r>
    </w:p>
    <w:p w14:paraId="3577AD8C" w14:textId="77777777" w:rsidR="00205D8C" w:rsidRDefault="00205D8C">
      <w:pPr>
        <w:pStyle w:val="NormalWeb"/>
        <w:rPr>
          <w:rFonts w:ascii="Calibri" w:hAnsi="Calibri" w:cs="Calibri"/>
          <w:sz w:val="22"/>
          <w:szCs w:val="22"/>
        </w:rPr>
      </w:pPr>
      <w:r>
        <w:rPr>
          <w:rFonts w:ascii="Calibri" w:hAnsi="Calibri" w:cs="Calibri"/>
          <w:sz w:val="22"/>
          <w:szCs w:val="22"/>
        </w:rPr>
        <w:t xml:space="preserve">9. </w:t>
      </w:r>
      <w:r>
        <w:rPr>
          <w:rStyle w:val="CdigoHTML"/>
          <w:b/>
          <w:bCs/>
        </w:rPr>
        <w:t>VW_BI_MUSEMS_HISTORICO_CURP</w:t>
      </w:r>
      <w:r>
        <w:rPr>
          <w:rStyle w:val="Fuerte"/>
          <w:rFonts w:ascii="Calibri" w:hAnsi="Calibri" w:cs="Calibri"/>
          <w:sz w:val="22"/>
          <w:szCs w:val="22"/>
        </w:rPr>
        <w:t xml:space="preserve"> (Nueva Adición Junio 2026):</w:t>
      </w:r>
      <w:r>
        <w:rPr>
          <w:rFonts w:ascii="Calibri" w:hAnsi="Calibri" w:cs="Calibri"/>
          <w:sz w:val="22"/>
          <w:szCs w:val="22"/>
        </w:rPr>
        <w:t xml:space="preserve"> Integra formalmente y centraliza la sábana completa de transiciones cronológicas del estudiante; es la tabla vital detrás del buscador visual estilo "píldora" (*Pill-Design*) y es la única que requiere permisos PII especiales para desencriptar información sensible.</w:t>
      </w:r>
    </w:p>
    <w:p w14:paraId="4B49A3CF" w14:textId="77777777" w:rsidR="00205D8C" w:rsidRDefault="00205D8C">
      <w:pPr>
        <w:pStyle w:val="NormalWeb"/>
        <w:rPr>
          <w:rFonts w:ascii="Calibri" w:hAnsi="Calibri" w:cs="Calibri"/>
          <w:sz w:val="22"/>
          <w:szCs w:val="22"/>
        </w:rPr>
      </w:pPr>
      <w:r>
        <w:rPr>
          <w:rStyle w:val="Fuerte"/>
          <w:rFonts w:ascii="Calibri" w:hAnsi="Calibri" w:cs="Calibri"/>
          <w:sz w:val="22"/>
          <w:szCs w:val="22"/>
        </w:rPr>
        <w:t>Sugerencia:</w:t>
      </w:r>
    </w:p>
    <w:p w14:paraId="631E0EC5" w14:textId="77777777" w:rsidR="00205D8C" w:rsidRDefault="00205D8C">
      <w:pPr>
        <w:pStyle w:val="NormalWeb"/>
        <w:rPr>
          <w:rFonts w:ascii="Calibri" w:hAnsi="Calibri" w:cs="Calibri"/>
          <w:sz w:val="22"/>
          <w:szCs w:val="22"/>
        </w:rPr>
      </w:pPr>
      <w:r>
        <w:rPr>
          <w:rStyle w:val="Fuerte"/>
          <w:rFonts w:ascii="Calibri" w:hAnsi="Calibri" w:cs="Calibri"/>
          <w:sz w:val="22"/>
          <w:szCs w:val="22"/>
        </w:rPr>
        <w:t>Recomendación para DBA Entrante (Tuning Backlog):</w:t>
      </w:r>
      <w:r>
        <w:rPr>
          <w:rFonts w:ascii="Calibri" w:hAnsi="Calibri" w:cs="Calibri"/>
          <w:sz w:val="22"/>
          <w:szCs w:val="22"/>
        </w:rPr>
        <w:t xml:space="preserve"> </w:t>
      </w:r>
    </w:p>
    <w:p w14:paraId="13297BDA" w14:textId="77777777" w:rsidR="00205D8C" w:rsidRDefault="00205D8C">
      <w:pPr>
        <w:pStyle w:val="NormalWeb"/>
        <w:rPr>
          <w:rFonts w:ascii="Calibri" w:hAnsi="Calibri" w:cs="Calibri"/>
          <w:sz w:val="22"/>
          <w:szCs w:val="22"/>
        </w:rPr>
      </w:pPr>
      <w:r>
        <w:rPr>
          <w:rFonts w:ascii="Calibri" w:hAnsi="Calibri" w:cs="Calibri"/>
          <w:sz w:val="22"/>
          <w:szCs w:val="22"/>
        </w:rPr>
        <w:t xml:space="preserve">Dada la dimensionalidad creciente, se instruye al equipo de DBAs del área de Operaciones revisar mensualmente el </w:t>
      </w:r>
      <w:r>
        <w:rPr>
          <w:rStyle w:val="CdigoHTML"/>
        </w:rPr>
        <w:t>EXPLAIN PLAN</w:t>
      </w:r>
      <w:r>
        <w:rPr>
          <w:rFonts w:ascii="Calibri" w:hAnsi="Calibri" w:cs="Calibri"/>
          <w:sz w:val="22"/>
          <w:szCs w:val="22"/>
        </w:rPr>
        <w:t xml:space="preserve"> de la vista </w:t>
      </w:r>
      <w:r>
        <w:rPr>
          <w:rStyle w:val="CdigoHTML"/>
        </w:rPr>
        <w:t>VW_BI_MUSEMS_REINSCRIPCIONES</w:t>
      </w:r>
      <w:r>
        <w:rPr>
          <w:rFonts w:ascii="Calibri" w:hAnsi="Calibri" w:cs="Calibri"/>
          <w:sz w:val="22"/>
          <w:szCs w:val="22"/>
        </w:rPr>
        <w:t>. Si el costo relativo (Cost) excede los umbrales esperados tras el cierre del próximo ciclo escolar masivo, se recomienda instrumentar Índices de Bitmaps o considerarla candidata para Vista Materializada (</w:t>
      </w:r>
      <w:r>
        <w:rPr>
          <w:rStyle w:val="CdigoHTML"/>
        </w:rPr>
        <w:t>MATERIALIZED VIEW</w:t>
      </w:r>
      <w:r>
        <w:rPr>
          <w:rFonts w:ascii="Calibri" w:hAnsi="Calibri" w:cs="Calibri"/>
          <w:sz w:val="22"/>
          <w:szCs w:val="22"/>
        </w:rPr>
        <w:t>) de refresco nocturno.</w:t>
      </w:r>
    </w:p>
    <w:p w14:paraId="39811D55" w14:textId="77777777" w:rsidR="00205D8C" w:rsidRDefault="00205D8C">
      <w:pPr>
        <w:rPr>
          <w:rFonts w:ascii="Calibri" w:eastAsia="Times New Roman" w:hAnsi="Calibri" w:cs="Calibri"/>
        </w:rPr>
      </w:pPr>
      <w:r>
        <w:rPr>
          <w:rFonts w:ascii="Calibri" w:eastAsia="Times New Roman" w:hAnsi="Calibri" w:cs="Calibri"/>
        </w:rPr>
        <w:pict w14:anchorId="1DD38E31">
          <v:rect id="_x0000_i1029" style="width:0;height:1.5pt" o:hralign="center" o:hrstd="t" o:hr="t" fillcolor="#a0a0a0" stroked="f"/>
        </w:pict>
      </w:r>
    </w:p>
    <w:p w14:paraId="294F1621" w14:textId="77777777" w:rsidR="00205D8C" w:rsidRDefault="00205D8C">
      <w:pPr>
        <w:pStyle w:val="Ttulo2"/>
        <w:rPr>
          <w:rFonts w:ascii="Calibri" w:eastAsia="Times New Roman" w:hAnsi="Calibri" w:cs="Calibri"/>
        </w:rPr>
      </w:pPr>
      <w:r>
        <w:rPr>
          <w:rFonts w:ascii="Calibri" w:eastAsia="Times New Roman" w:hAnsi="Calibri" w:cs="Calibri"/>
        </w:rPr>
        <w:t>5. Inventario de Entregables Finales (Handover Tecnológico)</w:t>
      </w:r>
    </w:p>
    <w:p w14:paraId="5A10B811" w14:textId="77777777" w:rsidR="00205D8C" w:rsidRDefault="00205D8C">
      <w:pPr>
        <w:pStyle w:val="NormalWeb"/>
        <w:rPr>
          <w:rFonts w:ascii="Calibri" w:hAnsi="Calibri" w:cs="Calibri"/>
          <w:sz w:val="22"/>
          <w:szCs w:val="22"/>
        </w:rPr>
      </w:pPr>
      <w:r>
        <w:rPr>
          <w:rFonts w:ascii="Calibri" w:hAnsi="Calibri" w:cs="Calibri"/>
          <w:sz w:val="22"/>
          <w:szCs w:val="22"/>
        </w:rPr>
        <w:t>Como acta que clausura esta dimensión técnica y de ingeniería de datos, se transfieren irrevocablemente a la Secretaría de Educación Pública los siguientes activos probados y certificados:</w:t>
      </w:r>
    </w:p>
    <w:p w14:paraId="4E725A56" w14:textId="77777777" w:rsidR="00205D8C" w:rsidRDefault="00205D8C" w:rsidP="00205D8C">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 xml:space="preserve">Estructura DDL (Directorio </w:t>
      </w:r>
      <w:r>
        <w:rPr>
          <w:rStyle w:val="CdigoHTML"/>
          <w:b/>
          <w:bCs/>
        </w:rPr>
        <w:t>/00-Central_Data_Base/</w:t>
      </w:r>
      <w:r>
        <w:rPr>
          <w:rStyle w:val="Fuerte"/>
          <w:rFonts w:ascii="Calibri" w:eastAsia="Times New Roman" w:hAnsi="Calibri" w:cs="Calibri"/>
        </w:rPr>
        <w:t>):</w:t>
      </w:r>
      <w:r>
        <w:rPr>
          <w:rFonts w:ascii="Calibri" w:eastAsia="Times New Roman" w:hAnsi="Calibri" w:cs="Calibri"/>
        </w:rPr>
        <w:t xml:space="preserve"> Todos los scripts SQL </w:t>
      </w:r>
      <w:r>
        <w:rPr>
          <w:rStyle w:val="CdigoHTML"/>
        </w:rPr>
        <w:t>CREATE VIEW</w:t>
      </w:r>
      <w:r>
        <w:rPr>
          <w:rFonts w:ascii="Calibri" w:eastAsia="Times New Roman" w:hAnsi="Calibri" w:cs="Calibri"/>
        </w:rPr>
        <w:t>, sentencias de privilegios y esquemas de mantenimiento.</w:t>
      </w:r>
    </w:p>
    <w:p w14:paraId="1400803E" w14:textId="77777777" w:rsidR="00205D8C" w:rsidRDefault="00205D8C" w:rsidP="00205D8C">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Entregable Nivel 3 CMMI (09) Diagrama Entidad-Relación:</w:t>
      </w:r>
      <w:r>
        <w:rPr>
          <w:rFonts w:ascii="Calibri" w:eastAsia="Times New Roman" w:hAnsi="Calibri" w:cs="Calibri"/>
        </w:rPr>
        <w:t xml:space="preserve"> Documento exportado y formateado a </w:t>
      </w:r>
      <w:r>
        <w:rPr>
          <w:rStyle w:val="CdigoHTML"/>
        </w:rPr>
        <w:t>.docx</w:t>
      </w:r>
      <w:r>
        <w:rPr>
          <w:rFonts w:ascii="Calibri" w:eastAsia="Times New Roman" w:hAnsi="Calibri" w:cs="Calibri"/>
        </w:rPr>
        <w:t xml:space="preserve"> y </w:t>
      </w:r>
      <w:r>
        <w:rPr>
          <w:rStyle w:val="CdigoHTML"/>
        </w:rPr>
        <w:t>.pdf</w:t>
      </w:r>
      <w:r>
        <w:rPr>
          <w:rFonts w:ascii="Calibri" w:eastAsia="Times New Roman" w:hAnsi="Calibri" w:cs="Calibri"/>
        </w:rPr>
        <w:t xml:space="preserve"> mediante el orquestador automático </w:t>
      </w:r>
      <w:r>
        <w:rPr>
          <w:rStyle w:val="CdigoHTML"/>
        </w:rPr>
        <w:t>generate_docs.py</w:t>
      </w:r>
      <w:r>
        <w:rPr>
          <w:rFonts w:ascii="Calibri" w:eastAsia="Times New Roman" w:hAnsi="Calibri" w:cs="Calibri"/>
        </w:rPr>
        <w:t xml:space="preserve">, certificando las jerarquías relacionales de todo el modelo </w:t>
      </w:r>
      <w:r>
        <w:rPr>
          <w:rStyle w:val="CdigoHTML"/>
        </w:rPr>
        <w:t>CTMU06*</w:t>
      </w:r>
      <w:r>
        <w:rPr>
          <w:rFonts w:ascii="Calibri" w:eastAsia="Times New Roman" w:hAnsi="Calibri" w:cs="Calibri"/>
        </w:rPr>
        <w:t>.</w:t>
      </w:r>
    </w:p>
    <w:p w14:paraId="72448CAF" w14:textId="77777777" w:rsidR="00205D8C" w:rsidRDefault="00205D8C" w:rsidP="00205D8C">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Entregable Nivel 3 CMMI (10) Diccionario de Datos Oficial:</w:t>
      </w:r>
      <w:r>
        <w:rPr>
          <w:rFonts w:ascii="Calibri" w:eastAsia="Times New Roman" w:hAnsi="Calibri" w:cs="Calibri"/>
        </w:rPr>
        <w:t xml:space="preserve"> Tabla extendida conteniendo el tipo, la cardinalidad y el propósito exacto tanto de las tablas maestras como de las </w:t>
      </w:r>
      <w:r>
        <w:rPr>
          <w:rStyle w:val="Fuerte"/>
          <w:rFonts w:ascii="Calibri" w:eastAsia="Times New Roman" w:hAnsi="Calibri" w:cs="Calibri"/>
        </w:rPr>
        <w:t>9 Vistas Analíticas</w:t>
      </w:r>
      <w:r>
        <w:rPr>
          <w:rFonts w:ascii="Calibri" w:eastAsia="Times New Roman" w:hAnsi="Calibri" w:cs="Calibri"/>
        </w:rPr>
        <w:t>.</w:t>
      </w:r>
    </w:p>
    <w:p w14:paraId="4AD5FE53" w14:textId="77777777" w:rsidR="00205D8C" w:rsidRDefault="00205D8C" w:rsidP="00205D8C">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Entregable Nivel 3 CMMI (02) Scripts de Carga Simulada:</w:t>
      </w:r>
      <w:r>
        <w:rPr>
          <w:rFonts w:ascii="Calibri" w:eastAsia="Times New Roman" w:hAnsi="Calibri" w:cs="Calibri"/>
        </w:rPr>
        <w:t xml:space="preserve"> Se entregan utilerías ubicadas en el directorio </w:t>
      </w:r>
      <w:r>
        <w:rPr>
          <w:rStyle w:val="CdigoHTML"/>
        </w:rPr>
        <w:t>02-Scripts_Prueba_Unitarias</w:t>
      </w:r>
      <w:r>
        <w:rPr>
          <w:rFonts w:ascii="Calibri" w:eastAsia="Times New Roman" w:hAnsi="Calibri" w:cs="Calibri"/>
        </w:rPr>
        <w:t xml:space="preserve"> conteniendo rutinas para insertar más de 68,000 registros ficticios asimétricos usados exitosamente durante nuestras pruebas de estrés QA.</w:t>
      </w:r>
    </w:p>
    <w:p w14:paraId="0E8A8D99" w14:textId="77777777" w:rsidR="00205D8C" w:rsidRDefault="00205D8C">
      <w:pPr>
        <w:pStyle w:val="NormalWeb"/>
        <w:rPr>
          <w:rFonts w:ascii="Calibri" w:hAnsi="Calibri" w:cs="Calibri"/>
          <w:sz w:val="22"/>
          <w:szCs w:val="22"/>
        </w:rPr>
      </w:pPr>
      <w:r>
        <w:rPr>
          <w:rFonts w:ascii="Calibri" w:hAnsi="Calibri" w:cs="Calibri"/>
          <w:sz w:val="22"/>
          <w:szCs w:val="22"/>
        </w:rPr>
        <w:t>Con el presente volumen de ingeniería documentada, se declara exitosamente entregado, purgado y plenamente operacional el modelo de persistencia e inteligencia analítica del proyecto MUSEMS.</w:t>
      </w:r>
    </w:p>
    <w:p w14:paraId="7466D915" w14:textId="77777777" w:rsidR="00205D8C" w:rsidRDefault="00205D8C">
      <w:pPr>
        <w:pStyle w:val="Ttulo2"/>
        <w:rPr>
          <w:rFonts w:ascii="Calibri" w:eastAsia="Times New Roman" w:hAnsi="Calibri" w:cs="Calibri"/>
        </w:rPr>
      </w:pPr>
      <w:r>
        <w:rPr>
          <w:rFonts w:ascii="Calibri" w:eastAsia="Times New Roman" w:hAnsi="Calibri" w:cs="Calibri"/>
        </w:rPr>
        <w:t>Actualización Especial de Cierre (Junio 2026)</w:t>
      </w:r>
    </w:p>
    <w:p w14:paraId="28A2E4CE" w14:textId="77777777" w:rsidR="00205D8C" w:rsidRDefault="00205D8C">
      <w:pPr>
        <w:pStyle w:val="Ttulo3"/>
        <w:rPr>
          <w:rFonts w:ascii="Calibri" w:eastAsia="Times New Roman" w:hAnsi="Calibri" w:cs="Calibri"/>
        </w:rPr>
      </w:pPr>
      <w:r>
        <w:rPr>
          <w:rFonts w:ascii="Calibri" w:eastAsia="Times New Roman" w:hAnsi="Calibri" w:cs="Calibri"/>
        </w:rPr>
        <w:t>3.2 Implementación Defensiva en MUSEMS-PU</w:t>
      </w:r>
    </w:p>
    <w:p w14:paraId="0C307527" w14:textId="77777777" w:rsidR="00205D8C" w:rsidRDefault="00205D8C" w:rsidP="00205D8C">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Prevención de Denegación de Servicio (Rate Limiting):</w:t>
      </w:r>
      <w:r>
        <w:rPr>
          <w:rFonts w:ascii="Calibri" w:eastAsia="Times New Roman" w:hAnsi="Calibri" w:cs="Calibri"/>
        </w:rPr>
        <w:t xml:space="preserve"> Ante el riesgo de explotación de fuerza bruta en los accesos institucionales, se configuró y probó bajo estrés la librería </w:t>
      </w:r>
      <w:r>
        <w:rPr>
          <w:rStyle w:val="CdigoHTML"/>
        </w:rPr>
        <w:t>slowapi</w:t>
      </w:r>
      <w:r>
        <w:rPr>
          <w:rFonts w:ascii="Calibri" w:eastAsia="Times New Roman" w:hAnsi="Calibri" w:cs="Calibri"/>
        </w:rPr>
        <w:t xml:space="preserve">. Se cede una API configurada con restricciones firmes (ej. 5 peticiones por minuto en </w:t>
      </w:r>
      <w:r>
        <w:rPr>
          <w:rStyle w:val="CdigoHTML"/>
        </w:rPr>
        <w:t>/login</w:t>
      </w:r>
      <w:r>
        <w:rPr>
          <w:rFonts w:ascii="Calibri" w:eastAsia="Times New Roman" w:hAnsi="Calibri" w:cs="Calibri"/>
        </w:rPr>
        <w:t>), interrumpiendo tempranamente los asedios mediante respuestas HTTP 429 sin agotar los recursos transaccionales de Oracle.</w:t>
      </w:r>
    </w:p>
    <w:p w14:paraId="3A0B0321" w14:textId="77777777" w:rsidR="00205D8C" w:rsidRDefault="00205D8C" w:rsidP="00205D8C">
      <w:pPr>
        <w:numPr>
          <w:ilvl w:val="0"/>
          <w:numId w:val="16"/>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Mitigación Issue 55 (Rendimiento Hashing):</w:t>
      </w:r>
      <w:r>
        <w:rPr>
          <w:rFonts w:ascii="Calibri" w:eastAsia="Times New Roman" w:hAnsi="Calibri" w:cs="Calibri"/>
        </w:rPr>
        <w:t xml:space="preserve"> Se modernizó la gestión criptográfica interna deshabilitando el motor </w:t>
      </w:r>
      <w:r>
        <w:rPr>
          <w:rStyle w:val="CdigoHTML"/>
        </w:rPr>
        <w:t>passlib</w:t>
      </w:r>
      <w:r>
        <w:rPr>
          <w:rFonts w:ascii="Calibri" w:eastAsia="Times New Roman" w:hAnsi="Calibri" w:cs="Calibri"/>
        </w:rPr>
        <w:t xml:space="preserve"> a favor de la biblioteca nativa </w:t>
      </w:r>
      <w:r>
        <w:rPr>
          <w:rStyle w:val="CdigoHTML"/>
        </w:rPr>
        <w:t>bcrypt</w:t>
      </w:r>
      <w:r>
        <w:rPr>
          <w:rFonts w:ascii="Calibri" w:eastAsia="Times New Roman" w:hAnsi="Calibri" w:cs="Calibri"/>
        </w:rPr>
        <w:t>, logrando una reducción calculada del 18% en los ciclos de CPU durante el análisis forense de *login*.</w:t>
      </w:r>
    </w:p>
    <w:p w14:paraId="5383D809" w14:textId="77777777" w:rsidR="00205D8C" w:rsidRDefault="00205D8C">
      <w:pPr>
        <w:rPr>
          <w:rFonts w:ascii="Calibri" w:eastAsia="Times New Roman" w:hAnsi="Calibri" w:cs="Calibri"/>
        </w:rPr>
      </w:pPr>
      <w:r>
        <w:rPr>
          <w:rFonts w:ascii="Calibri" w:eastAsia="Times New Roman" w:hAnsi="Calibri" w:cs="Calibri"/>
        </w:rPr>
        <w:pict w14:anchorId="5802A7DE">
          <v:rect id="_x0000_i1030" style="width:0;height:1.5pt" o:hralign="center" o:hrstd="t" o:hr="t" fillcolor="#a0a0a0" stroked="f"/>
        </w:pict>
      </w:r>
    </w:p>
    <w:p w14:paraId="356666F4" w14:textId="77777777" w:rsidR="00762984" w:rsidRPr="00762984" w:rsidRDefault="00762984" w:rsidP="00762984">
      <w:pPr>
        <w:rPr>
          <w:rFonts w:asciiTheme="minorHAnsi" w:hAnsiTheme="minorHAnsi"/>
          <w:color w:val="auto"/>
        </w:rPr>
      </w:pPr>
    </w:p>
    <w:p w14:paraId="34886560" w14:textId="77777777" w:rsidR="00762984" w:rsidRPr="00762984" w:rsidRDefault="00762984" w:rsidP="00762984">
      <w:pPr>
        <w:rPr>
          <w:rFonts w:asciiTheme="minorHAnsi" w:hAnsiTheme="minorHAnsi"/>
          <w:color w:val="auto"/>
        </w:rPr>
      </w:pPr>
    </w:p>
    <w:p w14:paraId="6FA5D955" w14:textId="77777777" w:rsidR="00762984" w:rsidRPr="00762984" w:rsidRDefault="00762984"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Toc217296775"/>
      <w:bookmarkStart w:id="1" w:name="_Toc219739752"/>
      <w:r w:rsidRPr="00762984">
        <w:rPr>
          <w:rFonts w:asciiTheme="majorHAnsi" w:eastAsiaTheme="majorEastAsia" w:hAnsiTheme="majorHAnsi" w:cstheme="majorBidi"/>
          <w:b/>
          <w:bCs/>
          <w:color w:val="4F81BD" w:themeColor="accent1"/>
          <w:sz w:val="26"/>
          <w:szCs w:val="26"/>
        </w:rPr>
        <w:t>8. Sección de firmas</w:t>
      </w:r>
      <w:bookmarkEnd w:id="0"/>
      <w:bookmarkEnd w:id="1"/>
    </w:p>
    <w:p w14:paraId="488F7A54" w14:textId="77777777" w:rsidR="00762984" w:rsidRPr="00762984" w:rsidRDefault="00762984" w:rsidP="00762984">
      <w:pPr>
        <w:rPr>
          <w:rFonts w:asciiTheme="minorHAnsi" w:hAnsiTheme="minorHAnsi"/>
          <w:color w:val="auto"/>
        </w:rPr>
      </w:pPr>
    </w:p>
    <w:p w14:paraId="4354CA72" w14:textId="77777777" w:rsidR="00762984" w:rsidRPr="00762984" w:rsidRDefault="00762984" w:rsidP="00762984">
      <w:pPr>
        <w:rPr>
          <w:rFonts w:ascii="Arial" w:hAnsi="Arial" w:cs="Arial"/>
          <w:color w:val="auto"/>
        </w:rPr>
      </w:pPr>
      <w:r w:rsidRPr="00762984">
        <w:rPr>
          <w:rFonts w:ascii="Arial" w:hAnsi="Arial" w:cs="Arial"/>
          <w:color w:val="auto"/>
        </w:rPr>
        <w:t>Tras la revisión del documento,</w:t>
      </w:r>
      <w:r w:rsidRPr="00762984">
        <w:rPr>
          <w:rFonts w:asciiTheme="minorHAnsi" w:hAnsiTheme="minorHAnsi"/>
          <w:color w:val="auto"/>
        </w:rPr>
        <w:t xml:space="preserve"> s</w:t>
      </w:r>
      <w:r w:rsidRPr="00762984">
        <w:rPr>
          <w:rFonts w:ascii="Arial" w:hAnsi="Arial" w:cs="Arial"/>
          <w:color w:val="auto"/>
        </w:rPr>
        <w:t>e presentan las firmas de elaboración y aprobación:</w:t>
      </w:r>
    </w:p>
    <w:p w14:paraId="1BADAD35" w14:textId="77777777" w:rsidR="00B614EE" w:rsidRDefault="00B614EE" w:rsidP="003B7A12">
      <w:pPr>
        <w:spacing w:line="360" w:lineRule="auto"/>
        <w:rPr>
          <w:rFonts w:ascii="Montserrat" w:hAnsi="Montserrat"/>
          <w:sz w:val="24"/>
          <w:szCs w:val="24"/>
        </w:rPr>
      </w:pPr>
    </w:p>
    <w:p w14:paraId="0A2D1410" w14:textId="77777777" w:rsidR="00B614EE" w:rsidRPr="003B7A12"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38C4471D" w:rsidR="00C72784" w:rsidRPr="003B7A12" w:rsidRDefault="003A3A97" w:rsidP="003B7A12">
            <w:pPr>
              <w:spacing w:line="360" w:lineRule="auto"/>
              <w:jc w:val="center"/>
              <w:rPr>
                <w:rFonts w:ascii="Montserrat" w:hAnsi="Montserrat"/>
                <w:sz w:val="24"/>
                <w:szCs w:val="24"/>
              </w:rPr>
            </w:pPr>
            <w:r>
              <w:rPr>
                <w:rFonts w:ascii="Montserrat" w:hAnsi="Montserrat" w:cs="Noto Sans"/>
                <w:bCs/>
                <w:i/>
                <w:iCs/>
                <w:sz w:val="24"/>
                <w:szCs w:val="24"/>
              </w:rPr>
              <w:t xml:space="preserve">Victor </w:t>
            </w:r>
            <w:r w:rsidR="00055D65">
              <w:rPr>
                <w:rFonts w:ascii="Montserrat" w:hAnsi="Montserrat" w:cs="Noto Sans"/>
                <w:bCs/>
                <w:i/>
                <w:iCs/>
                <w:sz w:val="24"/>
                <w:szCs w:val="24"/>
              </w:rPr>
              <w:t>Lelo de Larrea Polanco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6EF73872" w:rsidR="00C72784" w:rsidRPr="003B7A12" w:rsidRDefault="000370F9" w:rsidP="003B7A12">
            <w:pPr>
              <w:spacing w:line="360" w:lineRule="auto"/>
              <w:jc w:val="center"/>
              <w:rPr>
                <w:rFonts w:ascii="Montserrat" w:hAnsi="Montserrat"/>
                <w:sz w:val="24"/>
                <w:szCs w:val="24"/>
              </w:rPr>
            </w:pPr>
            <w:r>
              <w:rPr>
                <w:rFonts w:ascii="Montserrat" w:hAnsi="Montserrat" w:cs="Noto Sans"/>
                <w:bCs/>
                <w:i/>
                <w:sz w:val="24"/>
                <w:szCs w:val="24"/>
              </w:rPr>
              <w:t>v</w:t>
            </w:r>
            <w:r w:rsidR="00055D65">
              <w:rPr>
                <w:rFonts w:ascii="Montserrat" w:hAnsi="Montserrat" w:cs="Noto Sans"/>
                <w:bCs/>
                <w:i/>
                <w:sz w:val="24"/>
                <w:szCs w:val="24"/>
              </w:rPr>
              <w:t>ictor.lelodelarrea</w:t>
            </w:r>
            <w:r w:rsidR="00C72784" w:rsidRPr="003B7A12">
              <w:rPr>
                <w:rFonts w:ascii="Montserrat" w:hAnsi="Montserrat" w:cs="Noto Sans"/>
                <w:bCs/>
                <w:i/>
                <w:sz w:val="24"/>
                <w:szCs w:val="24"/>
              </w:rPr>
              <w:t>@nube.sep.gob.mx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47D23" w14:textId="77777777" w:rsidR="00567F85" w:rsidRPr="003A5DB2" w:rsidRDefault="00567F85" w:rsidP="00997E2E">
      <w:r w:rsidRPr="003A5DB2">
        <w:separator/>
      </w:r>
    </w:p>
  </w:endnote>
  <w:endnote w:type="continuationSeparator" w:id="0">
    <w:p w14:paraId="2EF16D69" w14:textId="77777777" w:rsidR="00567F85" w:rsidRPr="003A5DB2" w:rsidRDefault="00567F85"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2" w:name="_Hlk195261366"/>
    <w:bookmarkStart w:id="3"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2"/>
  <w:bookmarkEnd w:id="3"/>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6C74" w14:textId="77777777" w:rsidR="00567F85" w:rsidRPr="003A5DB2" w:rsidRDefault="00567F85" w:rsidP="00997E2E">
      <w:r w:rsidRPr="003A5DB2">
        <w:separator/>
      </w:r>
    </w:p>
  </w:footnote>
  <w:footnote w:type="continuationSeparator" w:id="0">
    <w:p w14:paraId="087F1096" w14:textId="77777777" w:rsidR="00567F85" w:rsidRPr="003A5DB2" w:rsidRDefault="00567F85"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52B45"/>
    <w:multiLevelType w:val="multilevel"/>
    <w:tmpl w:val="6B34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73859BE"/>
    <w:multiLevelType w:val="multilevel"/>
    <w:tmpl w:val="42C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6141E"/>
    <w:multiLevelType w:val="multilevel"/>
    <w:tmpl w:val="3CD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3656D"/>
    <w:multiLevelType w:val="multilevel"/>
    <w:tmpl w:val="92A8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1"/>
  </w:num>
  <w:num w:numId="8" w16cid:durableId="1187519976">
    <w:abstractNumId w:val="9"/>
  </w:num>
  <w:num w:numId="9" w16cid:durableId="774518276">
    <w:abstractNumId w:val="7"/>
  </w:num>
  <w:num w:numId="10" w16cid:durableId="2009867063">
    <w:abstractNumId w:val="10"/>
  </w:num>
  <w:num w:numId="11" w16cid:durableId="1924602666">
    <w:abstractNumId w:val="12"/>
  </w:num>
  <w:num w:numId="12" w16cid:durableId="2021344936">
    <w:abstractNumId w:val="2"/>
  </w:num>
  <w:num w:numId="13" w16cid:durableId="247540356">
    <w:abstractNumId w:val="14"/>
  </w:num>
  <w:num w:numId="14" w16cid:durableId="1772821435">
    <w:abstractNumId w:val="13"/>
  </w:num>
  <w:num w:numId="15" w16cid:durableId="480922441">
    <w:abstractNumId w:val="15"/>
  </w:num>
  <w:num w:numId="16" w16cid:durableId="68697848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370F9"/>
    <w:rsid w:val="00055D65"/>
    <w:rsid w:val="00057AD0"/>
    <w:rsid w:val="0006063C"/>
    <w:rsid w:val="00083F2C"/>
    <w:rsid w:val="00084C49"/>
    <w:rsid w:val="00090885"/>
    <w:rsid w:val="000C6807"/>
    <w:rsid w:val="000E2A85"/>
    <w:rsid w:val="0011731C"/>
    <w:rsid w:val="001427DC"/>
    <w:rsid w:val="0015074B"/>
    <w:rsid w:val="00157EAF"/>
    <w:rsid w:val="00176EC1"/>
    <w:rsid w:val="001A3E81"/>
    <w:rsid w:val="001C128F"/>
    <w:rsid w:val="001E4A8B"/>
    <w:rsid w:val="001F6D0E"/>
    <w:rsid w:val="00204D8B"/>
    <w:rsid w:val="00205D8C"/>
    <w:rsid w:val="0021558B"/>
    <w:rsid w:val="00217143"/>
    <w:rsid w:val="00281FC3"/>
    <w:rsid w:val="00281FCA"/>
    <w:rsid w:val="0029639D"/>
    <w:rsid w:val="002B281F"/>
    <w:rsid w:val="002C3587"/>
    <w:rsid w:val="002C5C4E"/>
    <w:rsid w:val="003067C9"/>
    <w:rsid w:val="00310D52"/>
    <w:rsid w:val="00322ECA"/>
    <w:rsid w:val="0032551C"/>
    <w:rsid w:val="00326D19"/>
    <w:rsid w:val="00326F90"/>
    <w:rsid w:val="00364FFA"/>
    <w:rsid w:val="003900CC"/>
    <w:rsid w:val="0039521E"/>
    <w:rsid w:val="003A3A97"/>
    <w:rsid w:val="003A5DB2"/>
    <w:rsid w:val="003B5DF2"/>
    <w:rsid w:val="003B7A12"/>
    <w:rsid w:val="003C7FA1"/>
    <w:rsid w:val="003F7817"/>
    <w:rsid w:val="00440931"/>
    <w:rsid w:val="0045232B"/>
    <w:rsid w:val="00460181"/>
    <w:rsid w:val="00477234"/>
    <w:rsid w:val="00490C87"/>
    <w:rsid w:val="0049360B"/>
    <w:rsid w:val="004A577B"/>
    <w:rsid w:val="004D2F30"/>
    <w:rsid w:val="004D6556"/>
    <w:rsid w:val="004F6419"/>
    <w:rsid w:val="005014CD"/>
    <w:rsid w:val="00517CFC"/>
    <w:rsid w:val="00547C5E"/>
    <w:rsid w:val="00555191"/>
    <w:rsid w:val="00567F85"/>
    <w:rsid w:val="0057038B"/>
    <w:rsid w:val="005F77E9"/>
    <w:rsid w:val="00606958"/>
    <w:rsid w:val="00614DF1"/>
    <w:rsid w:val="00643CB0"/>
    <w:rsid w:val="0065130E"/>
    <w:rsid w:val="006608CE"/>
    <w:rsid w:val="006942DE"/>
    <w:rsid w:val="006B5472"/>
    <w:rsid w:val="007138C2"/>
    <w:rsid w:val="00714169"/>
    <w:rsid w:val="00762984"/>
    <w:rsid w:val="007B7E00"/>
    <w:rsid w:val="007C3C28"/>
    <w:rsid w:val="007C519E"/>
    <w:rsid w:val="007C6CE5"/>
    <w:rsid w:val="007D3EBE"/>
    <w:rsid w:val="007D76F8"/>
    <w:rsid w:val="007F0EDD"/>
    <w:rsid w:val="007F53AE"/>
    <w:rsid w:val="00802FD5"/>
    <w:rsid w:val="00815657"/>
    <w:rsid w:val="008170A1"/>
    <w:rsid w:val="0085498B"/>
    <w:rsid w:val="00863E93"/>
    <w:rsid w:val="008916FA"/>
    <w:rsid w:val="0090295F"/>
    <w:rsid w:val="00907CAD"/>
    <w:rsid w:val="00941C93"/>
    <w:rsid w:val="00977E0D"/>
    <w:rsid w:val="0098514F"/>
    <w:rsid w:val="009915B2"/>
    <w:rsid w:val="00997E2E"/>
    <w:rsid w:val="009A0624"/>
    <w:rsid w:val="009B4888"/>
    <w:rsid w:val="009D73EA"/>
    <w:rsid w:val="00A149CB"/>
    <w:rsid w:val="00A276F6"/>
    <w:rsid w:val="00A96A40"/>
    <w:rsid w:val="00AA1D8D"/>
    <w:rsid w:val="00AC51FC"/>
    <w:rsid w:val="00AD19C4"/>
    <w:rsid w:val="00B22EB7"/>
    <w:rsid w:val="00B47730"/>
    <w:rsid w:val="00B54250"/>
    <w:rsid w:val="00B614EE"/>
    <w:rsid w:val="00B72F19"/>
    <w:rsid w:val="00B94D44"/>
    <w:rsid w:val="00BF1A0A"/>
    <w:rsid w:val="00C023B4"/>
    <w:rsid w:val="00C52C1F"/>
    <w:rsid w:val="00C5797C"/>
    <w:rsid w:val="00C663DF"/>
    <w:rsid w:val="00C72784"/>
    <w:rsid w:val="00CB0664"/>
    <w:rsid w:val="00CE3CE1"/>
    <w:rsid w:val="00CF5767"/>
    <w:rsid w:val="00D27B0B"/>
    <w:rsid w:val="00D3559E"/>
    <w:rsid w:val="00D94679"/>
    <w:rsid w:val="00DD799D"/>
    <w:rsid w:val="00E42075"/>
    <w:rsid w:val="00E60372"/>
    <w:rsid w:val="00E71416"/>
    <w:rsid w:val="00EA0966"/>
    <w:rsid w:val="00EC77A7"/>
    <w:rsid w:val="00EE6865"/>
    <w:rsid w:val="00EE6F82"/>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05D8C"/>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205D8C"/>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1253</Words>
  <Characters>6895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cp:lastModifiedBy>
  <cp:revision>17</cp:revision>
  <cp:lastPrinted>2026-01-20T21:57:00Z</cp:lastPrinted>
  <dcterms:created xsi:type="dcterms:W3CDTF">2026-01-19T19:50:00Z</dcterms:created>
  <dcterms:modified xsi:type="dcterms:W3CDTF">2026-06-23T21:47:00Z</dcterms:modified>
  <cp:category/>
</cp:coreProperties>
</file>