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C004" w14:textId="77777777" w:rsidR="00A60609" w:rsidRDefault="00A6060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Acta de Cierre: Monitoreo Perimetral, Alertamiento y Contención Volumétrica</w:t>
      </w:r>
    </w:p>
    <w:p w14:paraId="2E0C46A0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 de Corte: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27FE348E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Periodo Abarcado:</w:t>
      </w:r>
      <w:r>
        <w:rPr>
          <w:rFonts w:ascii="Calibri" w:hAnsi="Calibri" w:cs="Calibri"/>
          <w:sz w:val="22"/>
          <w:szCs w:val="22"/>
        </w:rPr>
        <w:t xml:space="preserve"> Abril - Mayo - Junio 2026 </w:t>
      </w:r>
    </w:p>
    <w:p w14:paraId="5E32E98D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Larrea Polanco </w:t>
      </w:r>
    </w:p>
    <w:p w14:paraId="6236A861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 </w:t>
      </w:r>
    </w:p>
    <w:p w14:paraId="65E66921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Clasificación:</w:t>
      </w:r>
      <w:r>
        <w:rPr>
          <w:rFonts w:ascii="Calibri" w:hAnsi="Calibri" w:cs="Calibri"/>
          <w:sz w:val="22"/>
          <w:szCs w:val="22"/>
        </w:rPr>
        <w:t xml:space="preserve"> Confidencial / Acta de Transferencia Tecnológica Definitiva </w:t>
      </w:r>
    </w:p>
    <w:p w14:paraId="535BF34D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66434D">
          <v:rect id="_x0000_i1025" style="width:0;height:1.5pt" o:hralign="center" o:hrstd="t" o:hr="t" fillcolor="#a0a0a0" stroked="f"/>
        </w:pict>
      </w:r>
    </w:p>
    <w:p w14:paraId="0991A26C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Declaración Definitiva de Cierre Operativo</w:t>
      </w:r>
    </w:p>
    <w:p w14:paraId="3310CDB8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Este documento se erige como el Acta Oficial (Master Handover) de traspaso del componente de </w:t>
      </w:r>
      <w:r>
        <w:rPr>
          <w:rStyle w:val="Fuerte"/>
          <w:rFonts w:ascii="Calibri" w:hAnsi="Calibri" w:cs="Calibri"/>
          <w:sz w:val="22"/>
          <w:szCs w:val="22"/>
        </w:rPr>
        <w:t>Observabilidad de Seguridad y Defensa Perimetral</w:t>
      </w:r>
      <w:r>
        <w:rPr>
          <w:rFonts w:ascii="Calibri" w:hAnsi="Calibri" w:cs="Calibri"/>
          <w:sz w:val="22"/>
          <w:szCs w:val="22"/>
        </w:rPr>
        <w:t xml:space="preserve"> inherente tanto a la Plataforma Analítica MUSEMS como a la Fase 2 del orquestador de Vida Saludable. Se asienta legal y operativamente que los proyectos son transferidos bajo un estado de blindaje estructural activo frente a amenazas cibernéticas volumétricas (DDoS a nivel capa de aplicación) y de denegación de servicio por agotamiento de recursos transaccionales.</w:t>
      </w:r>
    </w:p>
    <w:p w14:paraId="26B0E66F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soluciones diseñadas, programadas y certificadas durante este trimestre garantizan un paradigma de falla segura (*Fail-Safe*), donde ante ráfagas anómalas, el sistema interrumpe tempranamente el tráfico, previniendo cascadas de fallos hacia bases de datos externas e internas.</w:t>
      </w:r>
    </w:p>
    <w:p w14:paraId="6B84FAF3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9309233">
          <v:rect id="_x0000_i1026" style="width:0;height:1.5pt" o:hralign="center" o:hrstd="t" o:hr="t" fillcolor="#a0a0a0" stroked="f"/>
        </w:pict>
      </w:r>
    </w:p>
    <w:p w14:paraId="679C392E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Resolución Forense del Issue 56: Contención de Fuerza Bruta (MUSEMS)</w:t>
      </w:r>
    </w:p>
    <w:p w14:paraId="6F4A921E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escaneo de vulnerabilidades iniciales reveló una fragilidad crítica: los *endpoints* públicos de autenticación (Login) y de restablecimiento de contraseña estaban expuestos abiertamente, permitiendo a un ente malicioso someter al servidor a un ataque de inyección criptográfica continua o de fuerza bruta (Dictionary Attacks). </w:t>
      </w:r>
    </w:p>
    <w:p w14:paraId="1AD48522" w14:textId="77777777" w:rsidR="00A60609" w:rsidRDefault="00A6060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Implementación del Blindaje Volumétrico (</w:t>
      </w:r>
      <w:r>
        <w:rPr>
          <w:rStyle w:val="CdigoHTML"/>
        </w:rPr>
        <w:t>slowapi</w:t>
      </w:r>
      <w:r>
        <w:rPr>
          <w:rFonts w:ascii="Calibri" w:eastAsia="Times New Roman" w:hAnsi="Calibri" w:cs="Calibri"/>
        </w:rPr>
        <w:t>)</w:t>
      </w:r>
    </w:p>
    <w:p w14:paraId="6604231F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formaliza la entrega de un sistema robustecido mediante el uso del middleware volumétrico </w:t>
      </w:r>
      <w:r>
        <w:rPr>
          <w:rStyle w:val="CdigoHTML"/>
        </w:rPr>
        <w:t>slowapi</w:t>
      </w:r>
      <w:r>
        <w:rPr>
          <w:rFonts w:ascii="Calibri" w:hAnsi="Calibri" w:cs="Calibri"/>
          <w:sz w:val="22"/>
          <w:szCs w:val="22"/>
        </w:rPr>
        <w:t xml:space="preserve">, integrado nativamente dentro del *event loop* de FastAPI. Este mecanismo rastrea direcciones IPv4/IPv6 (leyendo correctamente las cabeceras invertidas </w:t>
      </w:r>
      <w:r>
        <w:rPr>
          <w:rStyle w:val="CdigoHTML"/>
        </w:rPr>
        <w:t>X-Forwarded-For</w:t>
      </w:r>
      <w:r>
        <w:rPr>
          <w:rFonts w:ascii="Calibri" w:hAnsi="Calibri" w:cs="Calibri"/>
          <w:sz w:val="22"/>
          <w:szCs w:val="22"/>
        </w:rPr>
        <w:t xml:space="preserve"> o de *ProxyFix* según se configure el servidor gunicorn/uvicorn productivo) para mantener un contador dinámico de transacciones.</w:t>
      </w:r>
    </w:p>
    <w:p w14:paraId="47C437D3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Matriz de Umbrales Entregada en QA Oficial: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832"/>
        <w:gridCol w:w="1832"/>
        <w:gridCol w:w="2698"/>
      </w:tblGrid>
      <w:tr w:rsidR="00A60609" w14:paraId="469925E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9E7224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API Endpoint Protegido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8DBCC6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Función Crítica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8FCEC6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Límite Estricto Entregado (Threshold)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FC496A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Acción de Defensa</w:t>
            </w:r>
          </w:p>
        </w:tc>
      </w:tr>
      <w:tr w:rsidR="00A60609" w14:paraId="17962A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50B456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POST /api/v1/auth/login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343C6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Validación de Acceso OAuth2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EBD893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5 Peticiones / 1 Minuto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04A7B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Retorna HTTP 429. Cancela carga a CPU Oracle.</w:t>
            </w:r>
          </w:p>
        </w:tc>
      </w:tr>
      <w:tr w:rsidR="00A60609" w14:paraId="66C58A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EFE817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POST /api/v1/auth/forgot-password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A7B1DD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Recuperación de Identidad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5F60B2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3 Peticiones / 5 Minutos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0D7EC7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Retorna HTTP 429. Protege servidor SMTP de envío de Spam y Blacklisting.</w:t>
            </w:r>
          </w:p>
        </w:tc>
      </w:tr>
      <w:tr w:rsidR="00A60609" w14:paraId="00BA272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729AE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GET /api/v1/bi/*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B6CF93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Consultas Analíticas (Con Token)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4632A9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Ilimitado por diseño interno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126BAF" w14:textId="77777777" w:rsidR="00A60609" w:rsidRDefault="00A60609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Flujo liberado de monitoreo de denegación, pues requiere RBAC activo.</w:t>
            </w:r>
          </w:p>
        </w:tc>
      </w:tr>
    </w:tbl>
    <w:p w14:paraId="007D4337" w14:textId="77777777" w:rsidR="00A60609" w:rsidRDefault="00A6060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Diagrama de Secuencia de Defensa Perimetral</w:t>
      </w:r>
    </w:p>
    <w:p w14:paraId="608836FF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35BCFC69" wp14:editId="2E2C1BD7">
            <wp:extent cx="10782300" cy="46024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CBCE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7659554">
          <v:rect id="_x0000_i1027" style="width:0;height:1.5pt" o:hralign="center" o:hrstd="t" o:hr="t" fillcolor="#a0a0a0" stroked="f"/>
        </w:pict>
      </w:r>
    </w:p>
    <w:p w14:paraId="3A419665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Tolerancia a Fallos y Circuit Breakers (Vida Saludable Fase 2)</w:t>
      </w:r>
    </w:p>
    <w:p w14:paraId="01338480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las simulaciones operativas de capacidad máxima para Vida Saludable (en Mayo), identificamos que nuestro propio motor era tan agresivo y escalable, que lograba saturar al cortafuegos institucional del IMSS durante las peticiones concurrentes de PDFs. El sistema original carecía de inteligencia para reponerse a este bloqueo externo.</w:t>
      </w:r>
    </w:p>
    <w:p w14:paraId="306ED3E1" w14:textId="77777777" w:rsidR="00A60609" w:rsidRDefault="00A6060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Implementación de Resiliencia en Descargas Concurrentes</w:t>
      </w:r>
    </w:p>
    <w:p w14:paraId="26C32D1E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estructuró y se entrega al equipo un mecanismo de *Backoff* exponencial (Circuit Breaker Lógico) en el flujo del </w:t>
      </w:r>
      <w:r>
        <w:rPr>
          <w:rStyle w:val="CdigoHTML"/>
        </w:rPr>
        <w:t>download_service.py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28A696BA" w14:textId="77777777" w:rsidR="00A60609" w:rsidRDefault="00A60609" w:rsidP="00A60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Comportamiento Asíncrono Probado:</w:t>
      </w:r>
      <w:r>
        <w:rPr>
          <w:rFonts w:ascii="Calibri" w:eastAsia="Times New Roman" w:hAnsi="Calibri" w:cs="Calibri"/>
        </w:rPr>
        <w:t xml:space="preserve"> Durante el Lote simulado de Puebla (</w:t>
      </w:r>
      <w:r>
        <w:rPr>
          <w:rStyle w:val="CdigoHTML"/>
        </w:rPr>
        <w:t>LOTE-202605-02</w:t>
      </w:r>
      <w:r>
        <w:rPr>
          <w:rFonts w:ascii="Calibri" w:eastAsia="Times New Roman" w:hAnsi="Calibri" w:cs="Calibri"/>
        </w:rPr>
        <w:t xml:space="preserve">), la ráfaga de 20 hilos (*Workers*) ocasionó respuestas </w:t>
      </w:r>
      <w:r>
        <w:rPr>
          <w:rStyle w:val="CdigoHTML"/>
        </w:rPr>
        <w:t>HTTP 429</w:t>
      </w:r>
      <w:r>
        <w:rPr>
          <w:rFonts w:ascii="Calibri" w:eastAsia="Times New Roman" w:hAnsi="Calibri" w:cs="Calibri"/>
        </w:rPr>
        <w:t xml:space="preserve"> externas.</w:t>
      </w:r>
    </w:p>
    <w:p w14:paraId="19F12FF5" w14:textId="77777777" w:rsidR="00A60609" w:rsidRDefault="00A60609" w:rsidP="00A60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Auto-Saneamiento Entregado:</w:t>
      </w:r>
      <w:r>
        <w:rPr>
          <w:rFonts w:ascii="Calibri" w:eastAsia="Times New Roman" w:hAnsi="Calibri" w:cs="Calibri"/>
        </w:rPr>
        <w:t xml:space="preserve"> El motor actual detecta este código, ralentiza automáticamente la ráfaga, duerme a los hilos afectados, y registra la falla de las CURPs en 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para su posterior procesamiento iterativo programado (</w:t>
      </w:r>
      <w:r>
        <w:rPr>
          <w:rStyle w:val="CdigoHTML"/>
        </w:rPr>
        <w:t>LOTE-202605-03_REPROCESO</w:t>
      </w:r>
      <w:r>
        <w:rPr>
          <w:rFonts w:ascii="Calibri" w:eastAsia="Times New Roman" w:hAnsi="Calibri" w:cs="Calibri"/>
        </w:rPr>
        <w:t>). Este ajuste demostró en QA recuperar el 100% de los documentos previamente fallidos.</w:t>
      </w:r>
    </w:p>
    <w:p w14:paraId="54C985AF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F1E9972">
          <v:rect id="_x0000_i1028" style="width:0;height:1.5pt" o:hralign="center" o:hrstd="t" o:hr="t" fillcolor="#a0a0a0" stroked="f"/>
        </w:pict>
      </w:r>
    </w:p>
    <w:p w14:paraId="521A6B32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Instructivo para Mantenimiento de Nivel (Operaciones)</w:t>
      </w:r>
    </w:p>
    <w:p w14:paraId="5A8F2C70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Aviso de Mantenimiento:</w:t>
      </w:r>
      <w:r>
        <w:rPr>
          <w:rFonts w:ascii="Calibri" w:hAnsi="Calibri" w:cs="Calibri"/>
          <w:sz w:val="22"/>
          <w:szCs w:val="22"/>
        </w:rPr>
        <w:t xml:space="preserve"> Se transfiere la recomendación explícita para la Dirección de Soporte Técnico, en caso de falsos positivos masivos:</w:t>
      </w:r>
    </w:p>
    <w:p w14:paraId="41A8A545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las dependencias y preparatorias de la SEP enlazan su navegación de salida de internet a través de un ruteador que colapsa todas las máquinas estudiantiles bajo </w:t>
      </w:r>
      <w:r>
        <w:rPr>
          <w:rStyle w:val="Fuerte"/>
          <w:rFonts w:ascii="Calibri" w:hAnsi="Calibri" w:cs="Calibri"/>
          <w:sz w:val="22"/>
          <w:szCs w:val="22"/>
        </w:rPr>
        <w:t>una única IP Pública Estática (NAT Masivo)</w:t>
      </w:r>
      <w:r>
        <w:rPr>
          <w:rFonts w:ascii="Calibri" w:hAnsi="Calibri" w:cs="Calibri"/>
          <w:sz w:val="22"/>
          <w:szCs w:val="22"/>
        </w:rPr>
        <w:t xml:space="preserve">, el sistema </w:t>
      </w:r>
      <w:r>
        <w:rPr>
          <w:rStyle w:val="CdigoHTML"/>
        </w:rPr>
        <w:t>slowapi</w:t>
      </w:r>
      <w:r>
        <w:rPr>
          <w:rFonts w:ascii="Calibri" w:hAnsi="Calibri" w:cs="Calibri"/>
          <w:sz w:val="22"/>
          <w:szCs w:val="22"/>
        </w:rPr>
        <w:t xml:space="preserve"> podría confundir múltiples accesos legítimos de distintos estudiantes como si fuesen un atacante solitario. Se recomienda documentar en el manual interno que, ante contingencias generalizadas de </w:t>
      </w:r>
      <w:r>
        <w:rPr>
          <w:rStyle w:val="CdigoHTML"/>
        </w:rPr>
        <w:t>Error 429</w:t>
      </w:r>
      <w:r>
        <w:rPr>
          <w:rFonts w:ascii="Calibri" w:hAnsi="Calibri" w:cs="Calibri"/>
          <w:sz w:val="22"/>
          <w:szCs w:val="22"/>
        </w:rPr>
        <w:t xml:space="preserve"> en redes locales, será imperativo integrar Redis como un almacén de sesión híbrido que pondere tanto la IP como la firma del Agente de Usuario y Cookies de Sesión tempranas.</w:t>
      </w:r>
    </w:p>
    <w:p w14:paraId="7DD92712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3F193C4">
          <v:rect id="_x0000_i1029" style="width:0;height:1.5pt" o:hralign="center" o:hrstd="t" o:hr="t" fillcolor="#a0a0a0" stroked="f"/>
        </w:pict>
      </w:r>
    </w:p>
    <w:p w14:paraId="0EBCEA08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Inventario de Entregables Finales (Handover Tecnológico)</w:t>
      </w:r>
    </w:p>
    <w:p w14:paraId="006AFE91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cierre que rubrica el cumplimiento del requerimiento CMMI en la materia de resiliencia y monitorización, se traslada formalmente la pertenencia de los siguientes activos:</w:t>
      </w:r>
    </w:p>
    <w:p w14:paraId="23B4A2FF" w14:textId="77777777" w:rsidR="00A60609" w:rsidRDefault="00A60609" w:rsidP="00A60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Entregable Nivel 3 CMMI (06) Pruebas de Estrés:</w:t>
      </w:r>
      <w:r>
        <w:rPr>
          <w:rFonts w:ascii="Calibri" w:eastAsia="Times New Roman" w:hAnsi="Calibri" w:cs="Calibri"/>
        </w:rPr>
        <w:t xml:space="preserve"> Generado de forma autómata (DOCX/PDF) vía </w:t>
      </w:r>
      <w:r>
        <w:rPr>
          <w:rStyle w:val="CdigoHTML"/>
        </w:rPr>
        <w:t>generate_docs.py</w:t>
      </w:r>
      <w:r>
        <w:rPr>
          <w:rFonts w:ascii="Calibri" w:eastAsia="Times New Roman" w:hAnsi="Calibri" w:cs="Calibri"/>
        </w:rPr>
        <w:t>, certificando volumetrías de más de 68,000 registros, validando asintóticamente la no-caída de los contenedores Docker en picos transaccionales.</w:t>
      </w:r>
    </w:p>
    <w:p w14:paraId="63DDCB74" w14:textId="77777777" w:rsidR="00A60609" w:rsidRDefault="00A60609" w:rsidP="00A60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Entregable Nivel 3 CMMI (04) Pruebas Funcionales:</w:t>
      </w:r>
      <w:r>
        <w:rPr>
          <w:rFonts w:ascii="Calibri" w:eastAsia="Times New Roman" w:hAnsi="Calibri" w:cs="Calibri"/>
        </w:rPr>
        <w:t xml:space="preserve"> Aprobando el Requerimiento No-Funcional RNF-SEC-03 referente a la emisión programada de excepciones </w:t>
      </w:r>
      <w:r>
        <w:rPr>
          <w:rStyle w:val="CdigoHTML"/>
        </w:rPr>
        <w:t>429</w:t>
      </w:r>
      <w:r>
        <w:rPr>
          <w:rFonts w:ascii="Calibri" w:eastAsia="Times New Roman" w:hAnsi="Calibri" w:cs="Calibri"/>
        </w:rPr>
        <w:t xml:space="preserve"> mediante *Unit Tests*.</w:t>
      </w:r>
    </w:p>
    <w:p w14:paraId="4ED31D09" w14:textId="77777777" w:rsidR="00A60609" w:rsidRDefault="00A60609" w:rsidP="00A60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Código Fuente E2E de Cypress (Vida Saludable):</w:t>
      </w:r>
      <w:r>
        <w:rPr>
          <w:rFonts w:ascii="Calibri" w:eastAsia="Times New Roman" w:hAnsi="Calibri" w:cs="Calibri"/>
        </w:rPr>
        <w:t xml:space="preserve"> Casos automatizados en la carpeta </w:t>
      </w:r>
      <w:r>
        <w:rPr>
          <w:rStyle w:val="CdigoHTML"/>
        </w:rPr>
        <w:t>src/frontend/cypress/e2e/imss-integration.cy.ts</w:t>
      </w:r>
      <w:r>
        <w:rPr>
          <w:rFonts w:ascii="Calibri" w:eastAsia="Times New Roman" w:hAnsi="Calibri" w:cs="Calibri"/>
        </w:rPr>
        <w:t>, certificando el *Retry-Logic* y *Circuit Breakers* frente al IMSS.</w:t>
      </w:r>
    </w:p>
    <w:p w14:paraId="140DB60B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vertiente de monitoreo, defensa volumétrica y contención queda operativamente asegurada, auditada y finiquitada.</w:t>
      </w:r>
    </w:p>
    <w:p w14:paraId="6D0D7A51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Actualización Especial de Cierre (Junio 2026)</w:t>
      </w:r>
    </w:p>
    <w:p w14:paraId="391A69B7" w14:textId="77777777" w:rsidR="00A60609" w:rsidRDefault="00A6060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Resumen de Despliegue Oficial en Ambiente QA</w:t>
      </w:r>
    </w:p>
    <w:p w14:paraId="455667B9" w14:textId="77777777" w:rsidR="00A60609" w:rsidRDefault="00A6060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MUSEMS se entrega funcional, aprovisionado y certificado por las pruebas *End-to-End* en el clúster de Aseguramiento de la Calidad (QA) de la SEP.</w:t>
      </w:r>
    </w:p>
    <w:p w14:paraId="1ED600AC" w14:textId="77777777" w:rsidR="00A60609" w:rsidRDefault="00A60609" w:rsidP="00A60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Endpoint del Servidor Web: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http://168.255.101.231:8086/</w:t>
      </w:r>
    </w:p>
    <w:p w14:paraId="12E47F82" w14:textId="77777777" w:rsidR="00A60609" w:rsidRDefault="00A60609" w:rsidP="00A60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Nodos de Base de Datos: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168.255.101.67:1530/MUSEMSD</w:t>
      </w:r>
      <w:r>
        <w:rPr>
          <w:rFonts w:ascii="Calibri" w:eastAsia="Times New Roman" w:hAnsi="Calibri" w:cs="Calibri"/>
        </w:rPr>
        <w:t xml:space="preserve"> (Esquema: </w:t>
      </w:r>
      <w:r>
        <w:rPr>
          <w:rStyle w:val="CdigoHTML"/>
        </w:rPr>
        <w:t>MUSEMSQA</w:t>
      </w:r>
      <w:r>
        <w:rPr>
          <w:rFonts w:ascii="Calibri" w:eastAsia="Times New Roman" w:hAnsi="Calibri" w:cs="Calibri"/>
        </w:rPr>
        <w:t>)</w:t>
      </w:r>
    </w:p>
    <w:p w14:paraId="62FC5A78" w14:textId="77777777" w:rsidR="00A60609" w:rsidRDefault="00A60609" w:rsidP="00A60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Usuarios Creados e Intransferibles:</w:t>
      </w:r>
      <w:r>
        <w:rPr>
          <w:rFonts w:ascii="Calibri" w:eastAsia="Times New Roman" w:hAnsi="Calibri" w:cs="Calibri"/>
        </w:rPr>
        <w:t xml:space="preserve"> 5 perfiles con rol de </w:t>
      </w:r>
      <w:r>
        <w:rPr>
          <w:rStyle w:val="CdigoHTML"/>
        </w:rPr>
        <w:t>ADMINISTRADOR</w:t>
      </w:r>
      <w:r>
        <w:rPr>
          <w:rFonts w:ascii="Calibri" w:eastAsia="Times New Roman" w:hAnsi="Calibri" w:cs="Calibri"/>
        </w:rPr>
        <w:t xml:space="preserve"> (</w:t>
      </w:r>
      <w:r>
        <w:rPr>
          <w:rStyle w:val="CdigoHTML"/>
        </w:rPr>
        <w:t>david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abraham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valeria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dolores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eduardo</w:t>
      </w:r>
      <w:r>
        <w:rPr>
          <w:rFonts w:ascii="Calibri" w:eastAsia="Times New Roman" w:hAnsi="Calibri" w:cs="Calibri"/>
        </w:rPr>
        <w:t xml:space="preserve">) probados y asegurados con la contraseña maestra </w:t>
      </w:r>
      <w:r>
        <w:rPr>
          <w:rStyle w:val="CdigoHTML"/>
        </w:rPr>
        <w:t>musems2026</w:t>
      </w:r>
      <w:r>
        <w:rPr>
          <w:rFonts w:ascii="Calibri" w:eastAsia="Times New Roman" w:hAnsi="Calibri" w:cs="Calibri"/>
        </w:rPr>
        <w:t>. Estos usuarios están blindados bajo la lógica de retención obligatoria (Lockout Prevention) para asegurar continuidad administrativa.</w:t>
      </w:r>
    </w:p>
    <w:p w14:paraId="062788EF" w14:textId="77777777" w:rsidR="00A60609" w:rsidRDefault="00A6060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5BE88AA">
          <v:rect id="_x0000_i1030" style="width:0;height:1.5pt" o:hralign="center" o:hrstd="t" o:hr="t" fillcolor="#a0a0a0" stroked="f"/>
        </w:pict>
      </w:r>
    </w:p>
    <w:p w14:paraId="356666F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34886560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6FA5D955" w14:textId="77777777" w:rsidR="00762984" w:rsidRPr="00762984" w:rsidRDefault="00762984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0" w:name="_Toc217296775"/>
      <w:bookmarkStart w:id="1" w:name="_Toc219739752"/>
      <w:r w:rsidRPr="007629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  <w:bookmarkEnd w:id="0"/>
      <w:bookmarkEnd w:id="1"/>
    </w:p>
    <w:p w14:paraId="488F7A5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762984" w:rsidRDefault="00762984" w:rsidP="00762984">
      <w:pPr>
        <w:rPr>
          <w:rFonts w:ascii="Arial" w:hAnsi="Arial" w:cs="Arial"/>
          <w:color w:val="auto"/>
        </w:rPr>
      </w:pPr>
      <w:r w:rsidRPr="00762984">
        <w:rPr>
          <w:rFonts w:ascii="Arial" w:hAnsi="Arial" w:cs="Arial"/>
          <w:color w:val="auto"/>
        </w:rPr>
        <w:t>Tras la revisión del documento,</w:t>
      </w:r>
      <w:r w:rsidRPr="00762984">
        <w:rPr>
          <w:rFonts w:asciiTheme="minorHAnsi" w:hAnsiTheme="minorHAnsi"/>
          <w:color w:val="auto"/>
        </w:rPr>
        <w:t xml:space="preserve"> s</w:t>
      </w:r>
      <w:r w:rsidRPr="00762984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3B7A12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3B7A12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3B7A12" w14:paraId="7D0815A2" w14:textId="77777777" w:rsidTr="00E41D98">
        <w:tc>
          <w:tcPr>
            <w:tcW w:w="4675" w:type="dxa"/>
          </w:tcPr>
          <w:p w14:paraId="5C93266E" w14:textId="38C4471D" w:rsidR="00C72784" w:rsidRPr="003B7A12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3B7A12" w14:paraId="4EFFA3A4" w14:textId="77777777" w:rsidTr="00E41D98">
        <w:tc>
          <w:tcPr>
            <w:tcW w:w="4675" w:type="dxa"/>
          </w:tcPr>
          <w:p w14:paraId="3A32D21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3B7A12" w14:paraId="18A22D1F" w14:textId="77777777" w:rsidTr="00E41D98">
        <w:tc>
          <w:tcPr>
            <w:tcW w:w="4675" w:type="dxa"/>
          </w:tcPr>
          <w:p w14:paraId="4035BC3F" w14:textId="6EF73872" w:rsidR="00C72784" w:rsidRPr="003B7A12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3B7A12" w14:paraId="0E84DC51" w14:textId="77777777" w:rsidTr="00E41D98">
        <w:tc>
          <w:tcPr>
            <w:tcW w:w="4675" w:type="dxa"/>
          </w:tcPr>
          <w:p w14:paraId="20A9AA2C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3B7A12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9"/>
      <w:footerReference w:type="default" r:id="rId10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94AF" w14:textId="77777777" w:rsidR="006B0D4E" w:rsidRPr="003A5DB2" w:rsidRDefault="006B0D4E" w:rsidP="00997E2E">
      <w:r w:rsidRPr="003A5DB2">
        <w:separator/>
      </w:r>
    </w:p>
  </w:endnote>
  <w:endnote w:type="continuationSeparator" w:id="0">
    <w:p w14:paraId="1814CE17" w14:textId="77777777" w:rsidR="006B0D4E" w:rsidRPr="003A5DB2" w:rsidRDefault="006B0D4E" w:rsidP="00997E2E">
      <w:r w:rsidRPr="003A5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3A5DB2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2" w:name="_Hlk195261366"/>
    <w:bookmarkStart w:id="3" w:name="_Hlk195261367"/>
    <w:r w:rsidRPr="003A5DB2">
      <w:rPr>
        <w:rFonts w:ascii="Noto Sans" w:hAnsi="Noto Sans" w:cs="Noto Sans"/>
        <w:sz w:val="18"/>
        <w:szCs w:val="18"/>
      </w:rPr>
      <w:t xml:space="preserve">Página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1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Pr="003A5DB2">
      <w:rPr>
        <w:rFonts w:ascii="Noto Sans" w:hAnsi="Noto Sans" w:cs="Noto Sans"/>
        <w:sz w:val="18"/>
        <w:szCs w:val="18"/>
      </w:rPr>
      <w:t xml:space="preserve"> de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2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3A5DB2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3A5DB2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Unidad de Administración y Finanzas</w:t>
    </w:r>
    <w:r w:rsidRPr="003A5DB2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Dirección General de Tecnologías de</w:t>
    </w:r>
    <w:r w:rsidRPr="003A5DB2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la Información y Comunicaciones</w:t>
    </w:r>
    <w:r w:rsidRPr="003A5DB2">
      <w:rPr>
        <w:rFonts w:ascii="Noto Sans" w:hAnsi="Noto Sans" w:cs="Noto Sans"/>
        <w:sz w:val="18"/>
        <w:szCs w:val="18"/>
      </w:rPr>
      <w:tab/>
    </w:r>
  </w:p>
  <w:bookmarkEnd w:id="2"/>
  <w:bookmarkEnd w:id="3"/>
  <w:p w14:paraId="7DCB4A70" w14:textId="77777777" w:rsidR="00997E2E" w:rsidRPr="003A5DB2" w:rsidRDefault="00997E2E" w:rsidP="00997E2E">
    <w:pPr>
      <w:pStyle w:val="Encabezado"/>
      <w:ind w:right="474"/>
      <w:jc w:val="right"/>
    </w:pPr>
  </w:p>
  <w:p w14:paraId="370C7DA8" w14:textId="7BBD45B3" w:rsidR="00E42075" w:rsidRPr="003A5DB2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C7AC" w14:textId="77777777" w:rsidR="006B0D4E" w:rsidRPr="003A5DB2" w:rsidRDefault="006B0D4E" w:rsidP="00997E2E">
      <w:r w:rsidRPr="003A5DB2">
        <w:separator/>
      </w:r>
    </w:p>
  </w:footnote>
  <w:footnote w:type="continuationSeparator" w:id="0">
    <w:p w14:paraId="4C591A0B" w14:textId="77777777" w:rsidR="006B0D4E" w:rsidRPr="003A5DB2" w:rsidRDefault="006B0D4E" w:rsidP="00997E2E">
      <w:r w:rsidRPr="003A5D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3A5DB2" w:rsidRDefault="00997E2E" w:rsidP="00997E2E">
    <w:pPr>
      <w:pStyle w:val="Encabezado"/>
    </w:pPr>
    <w:r w:rsidRPr="003A5DB2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3A5DB2" w:rsidRDefault="00997E2E" w:rsidP="00997E2E">
    <w:pPr>
      <w:pStyle w:val="Encabezado"/>
      <w:jc w:val="right"/>
    </w:pPr>
    <w:r w:rsidRPr="003A5DB2">
      <w:t>Unidad de Administración y Finanzas</w:t>
    </w:r>
    <w:r w:rsidRPr="003A5DB2">
      <w:tab/>
    </w:r>
  </w:p>
  <w:p w14:paraId="7E408CE7" w14:textId="31431E63" w:rsidR="00997E2E" w:rsidRPr="003A5DB2" w:rsidRDefault="00997E2E" w:rsidP="00997E2E">
    <w:pPr>
      <w:pStyle w:val="Encabezado"/>
      <w:jc w:val="right"/>
    </w:pPr>
    <w:r w:rsidRPr="003A5DB2">
      <w:t>Dirección General de Tecnologías de</w:t>
    </w:r>
    <w:r w:rsidRPr="003A5DB2">
      <w:tab/>
      <w:t xml:space="preserve"> </w:t>
    </w:r>
  </w:p>
  <w:p w14:paraId="0D6A6991" w14:textId="76F185EB" w:rsidR="00997E2E" w:rsidRPr="003A5DB2" w:rsidRDefault="00997E2E" w:rsidP="00997E2E">
    <w:pPr>
      <w:pStyle w:val="Encabezado"/>
      <w:jc w:val="right"/>
    </w:pPr>
    <w:r w:rsidRPr="003A5DB2">
      <w:t>la Información y Comunicaciones</w:t>
    </w:r>
    <w:r w:rsidRPr="003A5DB2">
      <w:tab/>
    </w:r>
  </w:p>
  <w:p w14:paraId="466085AA" w14:textId="77777777" w:rsidR="00997E2E" w:rsidRPr="003A5DB2" w:rsidRDefault="00997E2E" w:rsidP="00997E2E">
    <w:pPr>
      <w:pStyle w:val="Encabezado"/>
    </w:pPr>
  </w:p>
  <w:p w14:paraId="57844811" w14:textId="77777777" w:rsidR="00997E2E" w:rsidRPr="003A5DB2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B5B0E"/>
    <w:multiLevelType w:val="multilevel"/>
    <w:tmpl w:val="DF9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9314E"/>
    <w:multiLevelType w:val="multilevel"/>
    <w:tmpl w:val="840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86CC9"/>
    <w:multiLevelType w:val="multilevel"/>
    <w:tmpl w:val="62B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2"/>
  </w:num>
  <w:num w:numId="8" w16cid:durableId="1187519976">
    <w:abstractNumId w:val="9"/>
  </w:num>
  <w:num w:numId="9" w16cid:durableId="774518276">
    <w:abstractNumId w:val="7"/>
  </w:num>
  <w:num w:numId="10" w16cid:durableId="2009867063">
    <w:abstractNumId w:val="10"/>
  </w:num>
  <w:num w:numId="11" w16cid:durableId="1924602666">
    <w:abstractNumId w:val="13"/>
  </w:num>
  <w:num w:numId="12" w16cid:durableId="2021344936">
    <w:abstractNumId w:val="2"/>
  </w:num>
  <w:num w:numId="13" w16cid:durableId="184639531">
    <w:abstractNumId w:val="14"/>
  </w:num>
  <w:num w:numId="14" w16cid:durableId="358243968">
    <w:abstractNumId w:val="11"/>
  </w:num>
  <w:num w:numId="15" w16cid:durableId="1910074114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4616"/>
    <w:rsid w:val="000370F9"/>
    <w:rsid w:val="00055D65"/>
    <w:rsid w:val="00057AD0"/>
    <w:rsid w:val="0006063C"/>
    <w:rsid w:val="00083F2C"/>
    <w:rsid w:val="00084C49"/>
    <w:rsid w:val="00090885"/>
    <w:rsid w:val="000C6807"/>
    <w:rsid w:val="000E2A85"/>
    <w:rsid w:val="0011731C"/>
    <w:rsid w:val="001427DC"/>
    <w:rsid w:val="0015074B"/>
    <w:rsid w:val="00157EAF"/>
    <w:rsid w:val="00176EC1"/>
    <w:rsid w:val="001A3E81"/>
    <w:rsid w:val="001C128F"/>
    <w:rsid w:val="001E4A8B"/>
    <w:rsid w:val="001F6D0E"/>
    <w:rsid w:val="00204D8B"/>
    <w:rsid w:val="0021558B"/>
    <w:rsid w:val="00217143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64FFA"/>
    <w:rsid w:val="003900CC"/>
    <w:rsid w:val="0039521E"/>
    <w:rsid w:val="003A3A97"/>
    <w:rsid w:val="003A5DB2"/>
    <w:rsid w:val="003B5DF2"/>
    <w:rsid w:val="003B7A12"/>
    <w:rsid w:val="003C7FA1"/>
    <w:rsid w:val="003F7817"/>
    <w:rsid w:val="00440931"/>
    <w:rsid w:val="0045232B"/>
    <w:rsid w:val="00460181"/>
    <w:rsid w:val="00477234"/>
    <w:rsid w:val="00490C87"/>
    <w:rsid w:val="0049360B"/>
    <w:rsid w:val="004A577B"/>
    <w:rsid w:val="004D2F30"/>
    <w:rsid w:val="004D6556"/>
    <w:rsid w:val="004F6419"/>
    <w:rsid w:val="005014CD"/>
    <w:rsid w:val="00517CFC"/>
    <w:rsid w:val="00547C5E"/>
    <w:rsid w:val="00555191"/>
    <w:rsid w:val="0057038B"/>
    <w:rsid w:val="005D6114"/>
    <w:rsid w:val="005F77E9"/>
    <w:rsid w:val="00606958"/>
    <w:rsid w:val="00614DF1"/>
    <w:rsid w:val="00643CB0"/>
    <w:rsid w:val="0065130E"/>
    <w:rsid w:val="006608CE"/>
    <w:rsid w:val="006942DE"/>
    <w:rsid w:val="006B0D4E"/>
    <w:rsid w:val="006B5472"/>
    <w:rsid w:val="007138C2"/>
    <w:rsid w:val="00714169"/>
    <w:rsid w:val="00762984"/>
    <w:rsid w:val="007B7E00"/>
    <w:rsid w:val="007C3C28"/>
    <w:rsid w:val="007C519E"/>
    <w:rsid w:val="007C6CE5"/>
    <w:rsid w:val="007D3EBE"/>
    <w:rsid w:val="007D76F8"/>
    <w:rsid w:val="007F0EDD"/>
    <w:rsid w:val="007F53AE"/>
    <w:rsid w:val="00802FD5"/>
    <w:rsid w:val="00815657"/>
    <w:rsid w:val="008170A1"/>
    <w:rsid w:val="0085498B"/>
    <w:rsid w:val="00863E93"/>
    <w:rsid w:val="008916FA"/>
    <w:rsid w:val="0090295F"/>
    <w:rsid w:val="00907CAD"/>
    <w:rsid w:val="00941C93"/>
    <w:rsid w:val="00977E0D"/>
    <w:rsid w:val="0098514F"/>
    <w:rsid w:val="009915B2"/>
    <w:rsid w:val="00997E2E"/>
    <w:rsid w:val="009A0624"/>
    <w:rsid w:val="009B4888"/>
    <w:rsid w:val="00A149CB"/>
    <w:rsid w:val="00A276F6"/>
    <w:rsid w:val="00A60609"/>
    <w:rsid w:val="00A96A40"/>
    <w:rsid w:val="00AA1D8D"/>
    <w:rsid w:val="00AC51FC"/>
    <w:rsid w:val="00AD19C4"/>
    <w:rsid w:val="00B22EB7"/>
    <w:rsid w:val="00B47730"/>
    <w:rsid w:val="00B54250"/>
    <w:rsid w:val="00B614EE"/>
    <w:rsid w:val="00B72F19"/>
    <w:rsid w:val="00B94D44"/>
    <w:rsid w:val="00BF1A0A"/>
    <w:rsid w:val="00C023B4"/>
    <w:rsid w:val="00C52C1F"/>
    <w:rsid w:val="00C5797C"/>
    <w:rsid w:val="00C663DF"/>
    <w:rsid w:val="00C72784"/>
    <w:rsid w:val="00CB0664"/>
    <w:rsid w:val="00CE3CE1"/>
    <w:rsid w:val="00CF5767"/>
    <w:rsid w:val="00D27B0B"/>
    <w:rsid w:val="00D3559E"/>
    <w:rsid w:val="00D94679"/>
    <w:rsid w:val="00DD799D"/>
    <w:rsid w:val="00E42075"/>
    <w:rsid w:val="00E60372"/>
    <w:rsid w:val="00E71416"/>
    <w:rsid w:val="00EA0966"/>
    <w:rsid w:val="00EC77A7"/>
    <w:rsid w:val="00EE6865"/>
    <w:rsid w:val="00EE6F82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A6060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A6060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1003</Words>
  <Characters>5521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</cp:lastModifiedBy>
  <cp:revision>17</cp:revision>
  <cp:lastPrinted>2026-01-20T21:57:00Z</cp:lastPrinted>
  <dcterms:created xsi:type="dcterms:W3CDTF">2026-01-19T19:50:00Z</dcterms:created>
  <dcterms:modified xsi:type="dcterms:W3CDTF">2026-06-23T21:47:00Z</dcterms:modified>
  <cp:category/>
</cp:coreProperties>
</file>