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55CFD" w14:textId="77777777" w:rsidR="009B7639" w:rsidRDefault="009B7639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Acta de Cierre: Procesos ETL Documentales, Pipelines CI/CD y DevSecOps Institucional</w:t>
      </w:r>
    </w:p>
    <w:p w14:paraId="630D2B7A" w14:textId="77777777" w:rsidR="009B7639" w:rsidRDefault="009B7639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Mes de Corte:</w:t>
      </w:r>
      <w:r>
        <w:rPr>
          <w:rFonts w:ascii="Calibri" w:hAnsi="Calibri" w:cs="Calibri"/>
          <w:sz w:val="22"/>
          <w:szCs w:val="22"/>
        </w:rPr>
        <w:t xml:space="preserve"> Junio 2026 </w:t>
      </w:r>
    </w:p>
    <w:p w14:paraId="0B49D1CC" w14:textId="77777777" w:rsidR="009B7639" w:rsidRDefault="009B7639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Periodo Abarcado:</w:t>
      </w:r>
      <w:r>
        <w:rPr>
          <w:rFonts w:ascii="Calibri" w:hAnsi="Calibri" w:cs="Calibri"/>
          <w:sz w:val="22"/>
          <w:szCs w:val="22"/>
        </w:rPr>
        <w:t xml:space="preserve"> Abril - Mayo - Junio 2026 </w:t>
      </w:r>
    </w:p>
    <w:p w14:paraId="2A0236DC" w14:textId="77777777" w:rsidR="009B7639" w:rsidRDefault="009B7639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Responsable:</w:t>
      </w:r>
      <w:r>
        <w:rPr>
          <w:rFonts w:ascii="Calibri" w:hAnsi="Calibri" w:cs="Calibri"/>
          <w:sz w:val="22"/>
          <w:szCs w:val="22"/>
        </w:rPr>
        <w:t xml:space="preserve"> Victor Manuel Lelo de Larrea Polanco </w:t>
      </w:r>
    </w:p>
    <w:p w14:paraId="31FF4ECB" w14:textId="77777777" w:rsidR="009B7639" w:rsidRDefault="009B7639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Área:</w:t>
      </w:r>
      <w:r>
        <w:rPr>
          <w:rFonts w:ascii="Calibri" w:hAnsi="Calibri" w:cs="Calibri"/>
          <w:sz w:val="22"/>
          <w:szCs w:val="22"/>
        </w:rPr>
        <w:t xml:space="preserve"> Coordinación de Proyectos de TI </w:t>
      </w:r>
    </w:p>
    <w:p w14:paraId="2A7E966B" w14:textId="77777777" w:rsidR="009B7639" w:rsidRDefault="009B7639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Clasificación:</w:t>
      </w:r>
      <w:r>
        <w:rPr>
          <w:rFonts w:ascii="Calibri" w:hAnsi="Calibri" w:cs="Calibri"/>
          <w:sz w:val="22"/>
          <w:szCs w:val="22"/>
        </w:rPr>
        <w:t xml:space="preserve"> Confidencial / Acta de Transferencia Tecnológica Definitiva </w:t>
      </w:r>
    </w:p>
    <w:p w14:paraId="555D4416" w14:textId="77777777" w:rsidR="009B7639" w:rsidRDefault="009B7639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3AFB3A43">
          <v:rect id="_x0000_i1025" style="width:0;height:1.5pt" o:hralign="center" o:hrstd="t" o:hr="t" fillcolor="#a0a0a0" stroked="f"/>
        </w:pict>
      </w:r>
    </w:p>
    <w:p w14:paraId="7609E930" w14:textId="77777777" w:rsidR="009B7639" w:rsidRDefault="009B763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Declaración Definitiva de Cierre Operativo</w:t>
      </w:r>
    </w:p>
    <w:p w14:paraId="7543D789" w14:textId="77777777" w:rsidR="009B7639" w:rsidRDefault="009B763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presente entregable actúa como el Acta Definitiva (Master Handover) documentando la arquitectura de ensamblaje automático y las barreras de protección del código entregado. En el desarrollo de software institucional crítico moderno, las líneas de código funcional carecen de valor si no están sujetas a una cadena inmutable de seguridad y de transformación de la calidad (Continuous Integration).</w:t>
      </w:r>
    </w:p>
    <w:p w14:paraId="46B0A1C6" w14:textId="77777777" w:rsidR="009B7639" w:rsidRDefault="009B763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Durante estos tres meses, la principal aportación tecnológica a los repositorios </w:t>
      </w:r>
      <w:r>
        <w:rPr>
          <w:rStyle w:val="CdigoHTML"/>
        </w:rPr>
        <w:t>SEP_MUSEMS_PU</w:t>
      </w:r>
      <w:r>
        <w:rPr>
          <w:rFonts w:ascii="Calibri" w:hAnsi="Calibri" w:cs="Calibri"/>
          <w:sz w:val="22"/>
          <w:szCs w:val="22"/>
        </w:rPr>
        <w:t xml:space="preserve"> y </w:t>
      </w:r>
      <w:r>
        <w:rPr>
          <w:rStyle w:val="CdigoHTML"/>
        </w:rPr>
        <w:t>py-sep-descarga-vida-saludable</w:t>
      </w:r>
      <w:r>
        <w:rPr>
          <w:rFonts w:ascii="Calibri" w:hAnsi="Calibri" w:cs="Calibri"/>
          <w:sz w:val="22"/>
          <w:szCs w:val="22"/>
        </w:rPr>
        <w:t xml:space="preserve"> fue cimentar una cultura de </w:t>
      </w:r>
      <w:r>
        <w:rPr>
          <w:rStyle w:val="Fuerte"/>
          <w:rFonts w:ascii="Calibri" w:hAnsi="Calibri" w:cs="Calibri"/>
          <w:sz w:val="22"/>
          <w:szCs w:val="22"/>
        </w:rPr>
        <w:t>DevSecOps</w:t>
      </w:r>
      <w:r>
        <w:rPr>
          <w:rFonts w:ascii="Calibri" w:hAnsi="Calibri" w:cs="Calibri"/>
          <w:sz w:val="22"/>
          <w:szCs w:val="22"/>
        </w:rPr>
        <w:t xml:space="preserve"> intransigente ("Zero-Trust") y automatizar el 100% de la carga documental burocrática mediante herramientas orquestadoras de transformación y carga (ETL). Se entregan hoy componentes auditados que impiden intrínsecamente el despliegue de software que contenga brechas.</w:t>
      </w:r>
    </w:p>
    <w:p w14:paraId="013AFE47" w14:textId="77777777" w:rsidR="009B7639" w:rsidRDefault="009B7639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52F6F2A8">
          <v:rect id="_x0000_i1026" style="width:0;height:1.5pt" o:hralign="center" o:hrstd="t" o:hr="t" fillcolor="#a0a0a0" stroked="f"/>
        </w:pict>
      </w:r>
    </w:p>
    <w:p w14:paraId="4F3998FF" w14:textId="77777777" w:rsidR="009B7639" w:rsidRDefault="009B763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Implementación Integral del Pipeline de Seguridad (Cero Vulnerabilidades)</w:t>
      </w:r>
    </w:p>
    <w:p w14:paraId="6FAF591C" w14:textId="77777777" w:rsidR="009B7639" w:rsidRDefault="009B763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ciclo histórico arrancó en abril con el diagnóstico de pasivos tecnológicos de alto impacto, como dependencias obsoletas y manejo de contraseñas de manera nativa sin hashes fuertes. Hoy, se entregan pipelines inquebrantables.</w:t>
      </w:r>
    </w:p>
    <w:p w14:paraId="34FA70BF" w14:textId="77777777" w:rsidR="009B7639" w:rsidRDefault="009B763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2.1 Compuertas de Validación Continua (El Eje </w:t>
      </w:r>
      <w:r>
        <w:rPr>
          <w:rStyle w:val="CdigoHTML"/>
        </w:rPr>
        <w:t>.github/workflows/security-ci.yml</w:t>
      </w:r>
      <w:r>
        <w:rPr>
          <w:rFonts w:ascii="Calibri" w:eastAsia="Times New Roman" w:hAnsi="Calibri" w:cs="Calibri"/>
        </w:rPr>
        <w:t>)</w:t>
      </w:r>
    </w:p>
    <w:p w14:paraId="06C426AF" w14:textId="77777777" w:rsidR="009B7639" w:rsidRDefault="009B763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Se hereda un marco de trabajo de integración (*GitHub Actions*) parametrizado como un firewall de despliegue.</w:t>
      </w:r>
    </w:p>
    <w:p w14:paraId="2E0CAC24" w14:textId="77777777" w:rsidR="009B7639" w:rsidRDefault="009B7639" w:rsidP="009B76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Análisis Estático de Seguridad (SAST):</w:t>
      </w:r>
      <w:r>
        <w:rPr>
          <w:rFonts w:ascii="Calibri" w:eastAsia="Times New Roman" w:hAnsi="Calibri" w:cs="Calibri"/>
        </w:rPr>
        <w:t xml:space="preserve"> El código subido se examina línea por línea mediante </w:t>
      </w:r>
      <w:r>
        <w:rPr>
          <w:rStyle w:val="CdigoHTML"/>
        </w:rPr>
        <w:t>bandit</w:t>
      </w:r>
      <w:r>
        <w:rPr>
          <w:rFonts w:ascii="Calibri" w:eastAsia="Times New Roman" w:hAnsi="Calibri" w:cs="Calibri"/>
        </w:rPr>
        <w:t xml:space="preserve"> y </w:t>
      </w:r>
      <w:r>
        <w:rPr>
          <w:rStyle w:val="CdigoHTML"/>
        </w:rPr>
        <w:t>semgrep</w:t>
      </w:r>
      <w:r>
        <w:rPr>
          <w:rFonts w:ascii="Calibri" w:eastAsia="Times New Roman" w:hAnsi="Calibri" w:cs="Calibri"/>
        </w:rPr>
        <w:t xml:space="preserve">. Estos motores escanean inyecciones estructuradas (SQLi descubierta en *Issue 61*), mal manejo de criptografía AES-ECB (*Issue 60*) y permisos indebidos (Hardcoded secrets). Si se halla un evento categorizado como "Alto" o "Medio", la acción retorna un </w:t>
      </w:r>
      <w:r>
        <w:rPr>
          <w:rStyle w:val="CdigoHTML"/>
        </w:rPr>
        <w:t>exit 1</w:t>
      </w:r>
      <w:r>
        <w:rPr>
          <w:rFonts w:ascii="Calibri" w:eastAsia="Times New Roman" w:hAnsi="Calibri" w:cs="Calibri"/>
        </w:rPr>
        <w:t>, invalidando inmediatamente la solicitud de *Pull Request* e interrumpiendo el flujo de despliegue hacia QA o Producción.</w:t>
      </w:r>
    </w:p>
    <w:p w14:paraId="3734AD22" w14:textId="77777777" w:rsidR="009B7639" w:rsidRDefault="009B7639" w:rsidP="009B763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Análisis de Composición de Software (SCA):</w:t>
      </w:r>
      <w:r>
        <w:rPr>
          <w:rFonts w:ascii="Calibri" w:eastAsia="Times New Roman" w:hAnsi="Calibri" w:cs="Calibri"/>
        </w:rPr>
        <w:t xml:space="preserve"> Para garantizar la inviolabilidad ante librerías contaminadas de terceros, herramientas como </w:t>
      </w:r>
      <w:r>
        <w:rPr>
          <w:rStyle w:val="CdigoHTML"/>
        </w:rPr>
        <w:t>pip-audit</w:t>
      </w:r>
      <w:r>
        <w:rPr>
          <w:rFonts w:ascii="Calibri" w:eastAsia="Times New Roman" w:hAnsi="Calibri" w:cs="Calibri"/>
        </w:rPr>
        <w:t xml:space="preserve"> y </w:t>
      </w:r>
      <w:r>
        <w:rPr>
          <w:rStyle w:val="CdigoHTML"/>
        </w:rPr>
        <w:t>npm audit</w:t>
      </w:r>
      <w:r>
        <w:rPr>
          <w:rFonts w:ascii="Calibri" w:eastAsia="Times New Roman" w:hAnsi="Calibri" w:cs="Calibri"/>
        </w:rPr>
        <w:t xml:space="preserve"> contrastan dinámicamente los árboles de dependencias contra las listas CVE públicas (Common Vulnerabilities and Exposures), alertando a la infraestructura de red institucional previo a cualquier montaje.</w:t>
      </w:r>
    </w:p>
    <w:p w14:paraId="7AE2B2D6" w14:textId="77777777" w:rsidR="009B7639" w:rsidRDefault="009B763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Certificado Forense de Cierre (Resolución Final SAST/SCA)</w:t>
      </w:r>
    </w:p>
    <w:p w14:paraId="65F3B280" w14:textId="77777777" w:rsidR="009B7639" w:rsidRDefault="009B763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escaneo correspondiente al mes de Junio se anexó formalmente a la documentación bajo la nomenclatura </w:t>
      </w:r>
      <w:r>
        <w:rPr>
          <w:rStyle w:val="CdigoHTML"/>
        </w:rPr>
        <w:t>05_Analisis_Vulnerabilidades</w:t>
      </w:r>
      <w:r>
        <w:rPr>
          <w:rFonts w:ascii="Calibri" w:hAnsi="Calibri" w:cs="Calibri"/>
          <w:sz w:val="22"/>
          <w:szCs w:val="22"/>
        </w:rPr>
        <w:t xml:space="preserve">. Se hace constar explícitamente y se rubrica bajo esta acta que el estado final entregado ostenta el rango de </w:t>
      </w:r>
      <w:r>
        <w:rPr>
          <w:rStyle w:val="Fuerte"/>
          <w:rFonts w:ascii="Calibri" w:hAnsi="Calibri" w:cs="Calibri"/>
          <w:sz w:val="22"/>
          <w:szCs w:val="22"/>
        </w:rPr>
        <w:t>"APROBADO"</w:t>
      </w:r>
      <w:r>
        <w:rPr>
          <w:rFonts w:ascii="Calibri" w:hAnsi="Calibri" w:cs="Calibri"/>
          <w:sz w:val="22"/>
          <w:szCs w:val="22"/>
        </w:rPr>
        <w:t xml:space="preserve"> con un veredicto de </w:t>
      </w:r>
      <w:r>
        <w:rPr>
          <w:rStyle w:val="Fuerte"/>
          <w:rFonts w:ascii="Calibri" w:hAnsi="Calibri" w:cs="Calibri"/>
          <w:sz w:val="22"/>
          <w:szCs w:val="22"/>
        </w:rPr>
        <w:t>0 (Cero) Vulnerabilidades Críticas y Altas</w:t>
      </w:r>
      <w:r>
        <w:rPr>
          <w:rFonts w:ascii="Calibri" w:hAnsi="Calibri" w:cs="Calibri"/>
          <w:sz w:val="22"/>
          <w:szCs w:val="22"/>
        </w:rPr>
        <w:t xml:space="preserve"> en el ecosistema MUSEMS-PU, validando la transición de la plataforma al estatus RC1.</w:t>
      </w:r>
    </w:p>
    <w:p w14:paraId="5113D4F5" w14:textId="77777777" w:rsidR="009B7639" w:rsidRDefault="009B7639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66C7FA76">
          <v:rect id="_x0000_i1027" style="width:0;height:1.5pt" o:hralign="center" o:hrstd="t" o:hr="t" fillcolor="#a0a0a0" stroked="f"/>
        </w:pict>
      </w:r>
    </w:p>
    <w:p w14:paraId="00DD8988" w14:textId="77777777" w:rsidR="009B7639" w:rsidRDefault="009B763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Automatización de Carga Corporativa (El Pipeline ETL Documental)</w:t>
      </w:r>
    </w:p>
    <w:p w14:paraId="4DF1E7AB" w14:textId="77777777" w:rsidR="009B7639" w:rsidRDefault="009B763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Una de las grandes aportaciones de la consultoría en el área de modernización burocrática ha sido la eliminación de la escritura manual en procesadores de texto, que a menudo sufre divergencias con el código final instalado en los servidores.</w:t>
      </w:r>
    </w:p>
    <w:p w14:paraId="54516CFA" w14:textId="77777777" w:rsidR="009B7639" w:rsidRDefault="009B763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3.1 Arquitectura de Orquestación </w:t>
      </w:r>
      <w:r>
        <w:rPr>
          <w:rStyle w:val="CdigoHTML"/>
        </w:rPr>
        <w:t>generate_docs.py</w:t>
      </w:r>
    </w:p>
    <w:p w14:paraId="52CEA0AA" w14:textId="77777777" w:rsidR="009B7639" w:rsidRDefault="009B763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Para asegurar que la Secretaría herede actas perfectamente trazables al código, se conceptualizó un proceso </w:t>
      </w:r>
      <w:r>
        <w:rPr>
          <w:rStyle w:val="Fuerte"/>
          <w:rFonts w:ascii="Calibri" w:hAnsi="Calibri" w:cs="Calibri"/>
          <w:sz w:val="22"/>
          <w:szCs w:val="22"/>
        </w:rPr>
        <w:t>Extract, Transform, Load (ETL)</w:t>
      </w:r>
      <w:r>
        <w:rPr>
          <w:rFonts w:ascii="Calibri" w:hAnsi="Calibri" w:cs="Calibri"/>
          <w:sz w:val="22"/>
          <w:szCs w:val="22"/>
        </w:rPr>
        <w:t xml:space="preserve"> especializado no en bases de datos, sino en acervos de conocimiento.</w:t>
      </w:r>
    </w:p>
    <w:p w14:paraId="5BF67E89" w14:textId="77777777" w:rsidR="009B7639" w:rsidRDefault="009B7639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noProof/>
        </w:rPr>
        <w:drawing>
          <wp:inline distT="0" distB="0" distL="0" distR="0" wp14:anchorId="52FB64E2" wp14:editId="115A1D7A">
            <wp:extent cx="16024860" cy="224028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486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13360" w14:textId="77777777" w:rsidR="009B7639" w:rsidRDefault="009B763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Beneficios Estratégicos Transferidos</w:t>
      </w:r>
    </w:p>
    <w:p w14:paraId="1DFCA90B" w14:textId="77777777" w:rsidR="009B7639" w:rsidRDefault="009B763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Style w:val="Fuerte"/>
          <w:rFonts w:ascii="Calibri" w:hAnsi="Calibri" w:cs="Calibri"/>
          <w:sz w:val="22"/>
          <w:szCs w:val="22"/>
        </w:rPr>
        <w:t>Inmutabilidad Visual:</w:t>
      </w:r>
      <w:r>
        <w:rPr>
          <w:rFonts w:ascii="Calibri" w:hAnsi="Calibri" w:cs="Calibri"/>
          <w:sz w:val="22"/>
          <w:szCs w:val="22"/>
        </w:rPr>
        <w:t xml:space="preserve"> Diagramas arquitectónicos generados mediante código </w:t>
      </w:r>
      <w:r>
        <w:rPr>
          <w:rStyle w:val="CdigoHTML"/>
        </w:rPr>
        <w:t>Mermaid</w:t>
      </w:r>
      <w:r>
        <w:rPr>
          <w:rFonts w:ascii="Calibri" w:hAnsi="Calibri" w:cs="Calibri"/>
          <w:sz w:val="22"/>
          <w:szCs w:val="22"/>
        </w:rPr>
        <w:t xml:space="preserve"> en el flujo Markdown que son compilados al vuelo a PNG Base64 antes de inyectarse al documento Word, impidiendo discrepancias entre diseño e implementación.</w:t>
      </w:r>
    </w:p>
    <w:p w14:paraId="00EDC332" w14:textId="77777777" w:rsidR="009B7639" w:rsidRDefault="009B763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Style w:val="Fuerte"/>
          <w:rFonts w:ascii="Calibri" w:hAnsi="Calibri" w:cs="Calibri"/>
          <w:sz w:val="22"/>
          <w:szCs w:val="22"/>
        </w:rPr>
        <w:t>Tablas de Trazabilidad Dinámicas:</w:t>
      </w:r>
      <w:r>
        <w:rPr>
          <w:rFonts w:ascii="Calibri" w:hAnsi="Calibri" w:cs="Calibri"/>
          <w:sz w:val="22"/>
          <w:szCs w:val="22"/>
        </w:rPr>
        <w:t xml:space="preserve"> Compresión de información masiva. La Matriz de Trazabilidad 4.1, que ampara requisitos y pruebas funcionales, es transpilada a tablas HTML complejas pero optimizadas para lectura gerencial.</w:t>
      </w:r>
    </w:p>
    <w:p w14:paraId="3C66117B" w14:textId="77777777" w:rsidR="009B7639" w:rsidRDefault="009B763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3. </w:t>
      </w:r>
      <w:r>
        <w:rPr>
          <w:rStyle w:val="Fuerte"/>
          <w:rFonts w:ascii="Calibri" w:hAnsi="Calibri" w:cs="Calibri"/>
          <w:sz w:val="22"/>
          <w:szCs w:val="22"/>
        </w:rPr>
        <w:t>Escalabilidad de Documentación:</w:t>
      </w:r>
      <w:r>
        <w:rPr>
          <w:rFonts w:ascii="Calibri" w:hAnsi="Calibri" w:cs="Calibri"/>
          <w:sz w:val="22"/>
          <w:szCs w:val="22"/>
        </w:rPr>
        <w:t xml:space="preserve"> Se entregan utilerías *PowerShell* paralelas (</w:t>
      </w:r>
      <w:r>
        <w:rPr>
          <w:rStyle w:val="CdigoHTML"/>
        </w:rPr>
        <w:t>md_to_docx_entregables.ps1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generate_institucionales_junio.ps1</w:t>
      </w:r>
      <w:r>
        <w:rPr>
          <w:rFonts w:ascii="Calibri" w:hAnsi="Calibri" w:cs="Calibri"/>
          <w:sz w:val="22"/>
          <w:szCs w:val="22"/>
        </w:rPr>
        <w:t>) permitiendo a los ingenieros sucesores compilar 14 actas a su equivalente membretado institucional en menos de 20 segundos sin error humano de copia y pega.</w:t>
      </w:r>
    </w:p>
    <w:p w14:paraId="32B97DFE" w14:textId="77777777" w:rsidR="009B7639" w:rsidRDefault="009B7639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20E05C22">
          <v:rect id="_x0000_i1028" style="width:0;height:1.5pt" o:hralign="center" o:hrstd="t" o:hr="t" fillcolor="#a0a0a0" stroked="f"/>
        </w:pict>
      </w:r>
    </w:p>
    <w:p w14:paraId="11234434" w14:textId="77777777" w:rsidR="009B7639" w:rsidRDefault="009B763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Lineamientos y Recomendaciones para la Continuidad</w:t>
      </w:r>
    </w:p>
    <w:p w14:paraId="10FC4AF2" w14:textId="77777777" w:rsidR="009B7639" w:rsidRDefault="009B763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 cesar formalmente mi intermediación técnica, se instruye categóricamente al equipo de DevOps receptor a apegarse a los siguientes mandatos:</w:t>
      </w:r>
    </w:p>
    <w:p w14:paraId="39D3E767" w14:textId="77777777" w:rsidR="009B7639" w:rsidRDefault="009B763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1. </w:t>
      </w:r>
      <w:r>
        <w:rPr>
          <w:rStyle w:val="Fuerte"/>
          <w:rFonts w:ascii="Calibri" w:hAnsi="Calibri" w:cs="Calibri"/>
          <w:sz w:val="22"/>
          <w:szCs w:val="22"/>
        </w:rPr>
        <w:t>Jamás realizar By-Pass del CI/CD:</w:t>
      </w:r>
      <w:r>
        <w:rPr>
          <w:rFonts w:ascii="Calibri" w:hAnsi="Calibri" w:cs="Calibri"/>
          <w:sz w:val="22"/>
          <w:szCs w:val="22"/>
        </w:rPr>
        <w:t xml:space="preserve"> Bajo ningún concepto, ni siquiera en emergencias (Hotfixes), se debe omitir la canalización de seguridad de </w:t>
      </w:r>
      <w:r>
        <w:rPr>
          <w:rStyle w:val="CdigoHTML"/>
        </w:rPr>
        <w:t>semgrep</w:t>
      </w:r>
      <w:r>
        <w:rPr>
          <w:rFonts w:ascii="Calibri" w:hAnsi="Calibri" w:cs="Calibri"/>
          <w:sz w:val="22"/>
          <w:szCs w:val="22"/>
        </w:rPr>
        <w:t>. Ignorar el dictamen abre fisuras legales ante la LGPDPPSO.</w:t>
      </w:r>
    </w:p>
    <w:p w14:paraId="11612AD2" w14:textId="77777777" w:rsidR="009B7639" w:rsidRDefault="009B763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2. </w:t>
      </w:r>
      <w:r>
        <w:rPr>
          <w:rStyle w:val="Fuerte"/>
          <w:rFonts w:ascii="Calibri" w:hAnsi="Calibri" w:cs="Calibri"/>
          <w:sz w:val="22"/>
          <w:szCs w:val="22"/>
        </w:rPr>
        <w:t>Extensión hacia Container Scanning:</w:t>
      </w:r>
      <w:r>
        <w:rPr>
          <w:rFonts w:ascii="Calibri" w:hAnsi="Calibri" w:cs="Calibri"/>
          <w:sz w:val="22"/>
          <w:szCs w:val="22"/>
        </w:rPr>
        <w:t xml:space="preserve"> Se insta a implementar en la próxima iteración madura un escáner de vulnerabilidades de imágenes Docker (como </w:t>
      </w:r>
      <w:r>
        <w:rPr>
          <w:rStyle w:val="CdigoHTML"/>
        </w:rPr>
        <w:t>Trivy</w:t>
      </w:r>
      <w:r>
        <w:rPr>
          <w:rFonts w:ascii="Calibri" w:hAnsi="Calibri" w:cs="Calibri"/>
          <w:sz w:val="22"/>
          <w:szCs w:val="22"/>
        </w:rPr>
        <w:t>), para auditar los entornos virtuales de los servidores de la Secretaría frente a riesgos OS-level (Linux).</w:t>
      </w:r>
    </w:p>
    <w:p w14:paraId="57B469F1" w14:textId="77777777" w:rsidR="009B7639" w:rsidRDefault="009B7639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5A3B40F8">
          <v:rect id="_x0000_i1029" style="width:0;height:1.5pt" o:hralign="center" o:hrstd="t" o:hr="t" fillcolor="#a0a0a0" stroked="f"/>
        </w:pict>
      </w:r>
    </w:p>
    <w:p w14:paraId="3F513079" w14:textId="77777777" w:rsidR="009B7639" w:rsidRDefault="009B763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Inventario de Entregables Finales (Handover Tecnológico)</w:t>
      </w:r>
    </w:p>
    <w:p w14:paraId="28BD5758" w14:textId="77777777" w:rsidR="009B7639" w:rsidRDefault="009B763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Como acta que clausura y consolida la materia de seguridad, orquestación y automatización de esta consultoría, se transfieren irrevocablemente:</w:t>
      </w:r>
    </w:p>
    <w:p w14:paraId="02CC8617" w14:textId="77777777" w:rsidR="009B7639" w:rsidRDefault="009B7639" w:rsidP="009B76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Entregable Nivel 3 CMMI (05) Análisis de Vulnerabilidades:</w:t>
      </w:r>
      <w:r>
        <w:rPr>
          <w:rFonts w:ascii="Calibri" w:eastAsia="Times New Roman" w:hAnsi="Calibri" w:cs="Calibri"/>
        </w:rPr>
        <w:t xml:space="preserve"> Certificación blindada con estado final "APROBADO".</w:t>
      </w:r>
    </w:p>
    <w:p w14:paraId="7B40DFE4" w14:textId="77777777" w:rsidR="009B7639" w:rsidRDefault="009B7639" w:rsidP="009B76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Entregable Nivel 3 CMMI (07) Manual de Instalación:</w:t>
      </w:r>
      <w:r>
        <w:rPr>
          <w:rFonts w:ascii="Calibri" w:eastAsia="Times New Roman" w:hAnsi="Calibri" w:cs="Calibri"/>
        </w:rPr>
        <w:t xml:space="preserve"> Repositorio íntegro detallando los comandos absolutos para replicar y configurar los entornos DevSecOps.</w:t>
      </w:r>
    </w:p>
    <w:p w14:paraId="02DA2F3C" w14:textId="77777777" w:rsidR="009B7639" w:rsidRDefault="009B7639" w:rsidP="009B76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Entregable Nivel 3 CMMI (14) Matriz de Rastreo y Trazabilidad:</w:t>
      </w:r>
      <w:r>
        <w:rPr>
          <w:rFonts w:ascii="Calibri" w:eastAsia="Times New Roman" w:hAnsi="Calibri" w:cs="Calibri"/>
        </w:rPr>
        <w:t xml:space="preserve"> Evidencia inmutable generada vía el ETL documental certificando que cada requerimiento de seguridad (Ej. RC-08, RNF-SEC-03) superó su prueba E2E respectiva.</w:t>
      </w:r>
    </w:p>
    <w:p w14:paraId="0752CF84" w14:textId="77777777" w:rsidR="009B7639" w:rsidRDefault="009B7639" w:rsidP="009B763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Conjunto de Scripts Operativos (</w:t>
      </w:r>
      <w:r>
        <w:rPr>
          <w:rStyle w:val="CdigoHTML"/>
          <w:b/>
          <w:bCs/>
        </w:rPr>
        <w:t>.ps1</w:t>
      </w:r>
      <w:r>
        <w:rPr>
          <w:rStyle w:val="Fuerte"/>
          <w:rFonts w:ascii="Calibri" w:eastAsia="Times New Roman" w:hAnsi="Calibri" w:cs="Calibri"/>
        </w:rPr>
        <w:t xml:space="preserve">, </w:t>
      </w:r>
      <w:r>
        <w:rPr>
          <w:rStyle w:val="CdigoHTML"/>
          <w:b/>
          <w:bCs/>
        </w:rPr>
        <w:t>.bat</w:t>
      </w:r>
      <w:r>
        <w:rPr>
          <w:rStyle w:val="Fuerte"/>
          <w:rFonts w:ascii="Calibri" w:eastAsia="Times New Roman" w:hAnsi="Calibri" w:cs="Calibri"/>
        </w:rPr>
        <w:t xml:space="preserve">, </w:t>
      </w:r>
      <w:r>
        <w:rPr>
          <w:rStyle w:val="CdigoHTML"/>
          <w:b/>
          <w:bCs/>
        </w:rPr>
        <w:t>.py</w:t>
      </w:r>
      <w:r>
        <w:rPr>
          <w:rStyle w:val="Fuerte"/>
          <w:rFonts w:ascii="Calibri" w:eastAsia="Times New Roman" w:hAnsi="Calibri" w:cs="Calibri"/>
        </w:rPr>
        <w:t>):</w:t>
      </w:r>
      <w:r>
        <w:rPr>
          <w:rFonts w:ascii="Calibri" w:eastAsia="Times New Roman" w:hAnsi="Calibri" w:cs="Calibri"/>
        </w:rPr>
        <w:t xml:space="preserve"> Herramientas generadoras de plantillas que aseguran a la institución independencia tecnológica y estandarización a largo plazo.</w:t>
      </w:r>
    </w:p>
    <w:p w14:paraId="0EEFAFB5" w14:textId="77777777" w:rsidR="009B7639" w:rsidRDefault="009B763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ecosistema de entrega continua y barrera de ciberseguridad queda plenamente auditado, documentado y transferido en óptimas condiciones de estabilidad.</w:t>
      </w:r>
    </w:p>
    <w:p w14:paraId="1C34786E" w14:textId="77777777" w:rsidR="009B7639" w:rsidRDefault="009B7639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Actualización Especial de Cierre (Junio 2026)</w:t>
      </w:r>
    </w:p>
    <w:p w14:paraId="23FCDBB5" w14:textId="77777777" w:rsidR="009B7639" w:rsidRDefault="009B763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Automatización Inmutable de Entregables Gubernamentales (</w:t>
      </w:r>
      <w:r>
        <w:rPr>
          <w:rStyle w:val="CdigoHTML"/>
        </w:rPr>
        <w:t>generate_docs.py</w:t>
      </w:r>
      <w:r>
        <w:rPr>
          <w:rFonts w:ascii="Calibri" w:eastAsia="Times New Roman" w:hAnsi="Calibri" w:cs="Calibri"/>
        </w:rPr>
        <w:t>)</w:t>
      </w:r>
    </w:p>
    <w:p w14:paraId="36857261" w14:textId="77777777" w:rsidR="009B7639" w:rsidRDefault="009B763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Para garantizar que la institución nunca pierda la simetría entre el código y la documentación técnica de auditoría (CMMI), se entrega la herramienta en Python </w:t>
      </w:r>
      <w:r>
        <w:rPr>
          <w:rStyle w:val="CdigoHTML"/>
        </w:rPr>
        <w:t>generate_docs.py</w:t>
      </w:r>
      <w:r>
        <w:rPr>
          <w:rFonts w:ascii="Calibri" w:hAnsi="Calibri" w:cs="Calibri"/>
          <w:sz w:val="22"/>
          <w:szCs w:val="22"/>
        </w:rPr>
        <w:t>. Este orquestador convierte dinámicamente los manuales de Markdown a formatos listos para imprenta (</w:t>
      </w:r>
      <w:r>
        <w:rPr>
          <w:rStyle w:val="CdigoHTML"/>
        </w:rPr>
        <w:t>.docx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.pdf</w:t>
      </w:r>
      <w:r>
        <w:rPr>
          <w:rFonts w:ascii="Calibri" w:hAnsi="Calibri" w:cs="Calibri"/>
          <w:sz w:val="22"/>
          <w:szCs w:val="22"/>
        </w:rPr>
        <w:t xml:space="preserve">), transformando por sí solo los diagramas </w:t>
      </w:r>
      <w:r>
        <w:rPr>
          <w:rStyle w:val="CdigoHTML"/>
        </w:rPr>
        <w:t>Mermaid</w:t>
      </w:r>
      <w:r>
        <w:rPr>
          <w:rFonts w:ascii="Calibri" w:hAnsi="Calibri" w:cs="Calibri"/>
          <w:sz w:val="22"/>
          <w:szCs w:val="22"/>
        </w:rPr>
        <w:t xml:space="preserve"> e incrustando recursos estáticos Base64. Esto es el verdadero *Shift-Left* documental.</w:t>
      </w:r>
    </w:p>
    <w:p w14:paraId="3881B73D" w14:textId="77777777" w:rsidR="009B7639" w:rsidRDefault="009B7639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pict w14:anchorId="2E3841E9">
          <v:rect id="_x0000_i1030" style="width:0;height:1.5pt" o:hralign="center" o:hrstd="t" o:hr="t" fillcolor="#a0a0a0" stroked="f"/>
        </w:pict>
      </w:r>
    </w:p>
    <w:p w14:paraId="635F5F99" w14:textId="77777777" w:rsidR="009B7639" w:rsidRDefault="009B7639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Ecosistema de Inteligencia Analítica (MUSEMS-PU)</w:t>
      </w:r>
    </w:p>
    <w:p w14:paraId="5CE35283" w14:textId="77777777" w:rsidR="009B7639" w:rsidRDefault="009B7639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desarrollo de MUSEMS-PU culminó en una arquitectura de alta concurrencia diseñada para soportar consultas masivas de Big Data y BI sin penalizar los recursos de red de la secretaría.</w:t>
      </w:r>
    </w:p>
    <w:p w14:paraId="17E154F1" w14:textId="77777777" w:rsidR="009B7639" w:rsidRDefault="009B7639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  <w:noProof/>
        </w:rPr>
        <w:drawing>
          <wp:inline distT="0" distB="0" distL="0" distR="0" wp14:anchorId="49298FF6" wp14:editId="5A84A483">
            <wp:extent cx="4465320" cy="8641080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864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463DD" w14:textId="77777777" w:rsidR="009B7639" w:rsidRDefault="009B7639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Principios Estructurales Aprobados y Entregados:</w:t>
      </w:r>
    </w:p>
    <w:p w14:paraId="03F7E59D" w14:textId="77777777" w:rsidR="009B7639" w:rsidRDefault="009B7639" w:rsidP="009B76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Segregación de Capas:</w:t>
      </w:r>
      <w:r>
        <w:rPr>
          <w:rFonts w:ascii="Calibri" w:eastAsia="Times New Roman" w:hAnsi="Calibri" w:cs="Calibri"/>
        </w:rPr>
        <w:t xml:space="preserve"> El frontend jamás realiza consultas a la base de datos de manera directa; todas las transacciones son sanitizadas por el backend FastAPI, previniendo intrínsecamente la filtración de *strings* de conexión.</w:t>
      </w:r>
    </w:p>
    <w:p w14:paraId="583060B8" w14:textId="77777777" w:rsidR="009B7639" w:rsidRDefault="009B7639" w:rsidP="009B763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</w:rPr>
      </w:pPr>
      <w:r>
        <w:rPr>
          <w:rStyle w:val="Fuerte"/>
          <w:rFonts w:ascii="Calibri" w:eastAsia="Times New Roman" w:hAnsi="Calibri" w:cs="Calibri"/>
        </w:rPr>
        <w:t>Gestión Avanzada de Conexiones:</w:t>
      </w:r>
      <w:r>
        <w:rPr>
          <w:rFonts w:ascii="Calibri" w:eastAsia="Times New Roman" w:hAnsi="Calibri" w:cs="Calibri"/>
        </w:rPr>
        <w:t xml:space="preserve"> Se implementó un *Thin Mode Pool* configurado expresamente para optimizar el número de hilos requeridos por el servidor Oracle, mitigando cuellos de botella en picos de demanda.</w:t>
      </w:r>
    </w:p>
    <w:p w14:paraId="356666F4" w14:textId="77777777" w:rsidR="00762984" w:rsidRPr="00762984" w:rsidRDefault="00762984" w:rsidP="00762984">
      <w:pPr>
        <w:rPr>
          <w:rFonts w:asciiTheme="minorHAnsi" w:hAnsiTheme="minorHAnsi"/>
          <w:color w:val="auto"/>
        </w:rPr>
      </w:pPr>
    </w:p>
    <w:p w14:paraId="34886560" w14:textId="77777777" w:rsidR="00762984" w:rsidRPr="00762984" w:rsidRDefault="00762984" w:rsidP="00762984">
      <w:pPr>
        <w:rPr>
          <w:rFonts w:asciiTheme="minorHAnsi" w:hAnsiTheme="minorHAnsi"/>
          <w:color w:val="auto"/>
        </w:rPr>
      </w:pPr>
    </w:p>
    <w:p w14:paraId="6FA5D955" w14:textId="77777777" w:rsidR="00762984" w:rsidRPr="00762984" w:rsidRDefault="00762984" w:rsidP="00762984">
      <w:pPr>
        <w:keepNext/>
        <w:keepLines/>
        <w:spacing w:before="200" w:after="0"/>
        <w:outlineLvl w:val="1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0" w:name="_Toc217296775"/>
      <w:bookmarkStart w:id="1" w:name="_Toc219739752"/>
      <w:r w:rsidRPr="00762984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8. Sección de firmas</w:t>
      </w:r>
      <w:bookmarkEnd w:id="0"/>
      <w:bookmarkEnd w:id="1"/>
    </w:p>
    <w:p w14:paraId="488F7A54" w14:textId="77777777" w:rsidR="00762984" w:rsidRPr="00762984" w:rsidRDefault="00762984" w:rsidP="00762984">
      <w:pPr>
        <w:rPr>
          <w:rFonts w:asciiTheme="minorHAnsi" w:hAnsiTheme="minorHAnsi"/>
          <w:color w:val="auto"/>
        </w:rPr>
      </w:pPr>
    </w:p>
    <w:p w14:paraId="4354CA72" w14:textId="77777777" w:rsidR="00762984" w:rsidRPr="00762984" w:rsidRDefault="00762984" w:rsidP="00762984">
      <w:pPr>
        <w:rPr>
          <w:rFonts w:ascii="Arial" w:hAnsi="Arial" w:cs="Arial"/>
          <w:color w:val="auto"/>
        </w:rPr>
      </w:pPr>
      <w:r w:rsidRPr="00762984">
        <w:rPr>
          <w:rFonts w:ascii="Arial" w:hAnsi="Arial" w:cs="Arial"/>
          <w:color w:val="auto"/>
        </w:rPr>
        <w:t>Tras la revisión del documento,</w:t>
      </w:r>
      <w:r w:rsidRPr="00762984">
        <w:rPr>
          <w:rFonts w:asciiTheme="minorHAnsi" w:hAnsiTheme="minorHAnsi"/>
          <w:color w:val="auto"/>
        </w:rPr>
        <w:t xml:space="preserve"> s</w:t>
      </w:r>
      <w:r w:rsidRPr="00762984">
        <w:rPr>
          <w:rFonts w:ascii="Arial" w:hAnsi="Arial" w:cs="Arial"/>
          <w:color w:val="auto"/>
        </w:rPr>
        <w:t>e presentan las firmas de elaboración y aprobación:</w:t>
      </w:r>
    </w:p>
    <w:p w14:paraId="1BADAD35" w14:textId="77777777" w:rsidR="00B614EE" w:rsidRDefault="00B614EE" w:rsidP="003B7A12">
      <w:pPr>
        <w:spacing w:line="360" w:lineRule="auto"/>
        <w:rPr>
          <w:rFonts w:ascii="Montserrat" w:hAnsi="Montserrat"/>
          <w:sz w:val="24"/>
          <w:szCs w:val="24"/>
        </w:rPr>
      </w:pPr>
    </w:p>
    <w:p w14:paraId="0A2D1410" w14:textId="77777777" w:rsidR="00B614EE" w:rsidRPr="003B7A12" w:rsidRDefault="00B614EE" w:rsidP="003B7A12">
      <w:pPr>
        <w:spacing w:line="360" w:lineRule="auto"/>
        <w:rPr>
          <w:rFonts w:ascii="Montserrat" w:hAnsi="Montserrat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19"/>
        <w:gridCol w:w="4631"/>
      </w:tblGrid>
      <w:tr w:rsidR="00C72784" w:rsidRPr="003B7A12" w14:paraId="1DCD0059" w14:textId="77777777" w:rsidTr="00E41D98">
        <w:trPr>
          <w:trHeight w:val="1410"/>
        </w:trPr>
        <w:tc>
          <w:tcPr>
            <w:tcW w:w="4675" w:type="dxa"/>
          </w:tcPr>
          <w:p w14:paraId="39E4F0BD" w14:textId="77777777" w:rsidR="00C72784" w:rsidRPr="003B7A12" w:rsidRDefault="00C72784" w:rsidP="003B7A12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</w:p>
        </w:tc>
        <w:tc>
          <w:tcPr>
            <w:tcW w:w="4675" w:type="dxa"/>
          </w:tcPr>
          <w:p w14:paraId="1EF450D0" w14:textId="77777777" w:rsidR="00C72784" w:rsidRPr="003B7A12" w:rsidRDefault="00C72784" w:rsidP="003B7A12">
            <w:pPr>
              <w:spacing w:line="360" w:lineRule="auto"/>
              <w:rPr>
                <w:rFonts w:ascii="Montserrat" w:hAnsi="Montserrat"/>
                <w:sz w:val="24"/>
                <w:szCs w:val="24"/>
              </w:rPr>
            </w:pPr>
          </w:p>
        </w:tc>
      </w:tr>
      <w:tr w:rsidR="00C72784" w:rsidRPr="003B7A12" w14:paraId="7D0815A2" w14:textId="77777777" w:rsidTr="00E41D98">
        <w:tc>
          <w:tcPr>
            <w:tcW w:w="4675" w:type="dxa"/>
          </w:tcPr>
          <w:p w14:paraId="5C93266E" w14:textId="38C4471D" w:rsidR="00C72784" w:rsidRPr="003B7A12" w:rsidRDefault="003A3A97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>
              <w:rPr>
                <w:rFonts w:ascii="Montserrat" w:hAnsi="Montserrat" w:cs="Noto Sans"/>
                <w:bCs/>
                <w:i/>
                <w:iCs/>
                <w:sz w:val="24"/>
                <w:szCs w:val="24"/>
              </w:rPr>
              <w:t xml:space="preserve">Victor </w:t>
            </w:r>
            <w:r w:rsidR="00055D65">
              <w:rPr>
                <w:rFonts w:ascii="Montserrat" w:hAnsi="Montserrat" w:cs="Noto Sans"/>
                <w:bCs/>
                <w:i/>
                <w:iCs/>
                <w:sz w:val="24"/>
                <w:szCs w:val="24"/>
              </w:rPr>
              <w:t>Lelo de Larrea Polanco</w:t>
            </w:r>
          </w:p>
        </w:tc>
        <w:tc>
          <w:tcPr>
            <w:tcW w:w="4675" w:type="dxa"/>
          </w:tcPr>
          <w:p w14:paraId="14362A79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David León Gómez</w:t>
            </w:r>
          </w:p>
        </w:tc>
      </w:tr>
      <w:tr w:rsidR="00C72784" w:rsidRPr="003B7A12" w14:paraId="4EFFA3A4" w14:textId="77777777" w:rsidTr="00E41D98">
        <w:tc>
          <w:tcPr>
            <w:tcW w:w="4675" w:type="dxa"/>
          </w:tcPr>
          <w:p w14:paraId="3A32D21A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Jefatura de departamento</w:t>
            </w:r>
          </w:p>
        </w:tc>
        <w:tc>
          <w:tcPr>
            <w:tcW w:w="4675" w:type="dxa"/>
          </w:tcPr>
          <w:p w14:paraId="4AB2F8CD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Subdirector de Área</w:t>
            </w:r>
          </w:p>
        </w:tc>
      </w:tr>
      <w:tr w:rsidR="00C72784" w:rsidRPr="003B7A12" w14:paraId="18A22D1F" w14:textId="77777777" w:rsidTr="00E41D98">
        <w:tc>
          <w:tcPr>
            <w:tcW w:w="4675" w:type="dxa"/>
          </w:tcPr>
          <w:p w14:paraId="4035BC3F" w14:textId="6EF73872" w:rsidR="00C72784" w:rsidRPr="003B7A12" w:rsidRDefault="000370F9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>
              <w:rPr>
                <w:rFonts w:ascii="Montserrat" w:hAnsi="Montserrat" w:cs="Noto Sans"/>
                <w:bCs/>
                <w:i/>
                <w:sz w:val="24"/>
                <w:szCs w:val="24"/>
              </w:rPr>
              <w:t>v</w:t>
            </w:r>
            <w:r w:rsidR="00055D65">
              <w:rPr>
                <w:rFonts w:ascii="Montserrat" w:hAnsi="Montserrat" w:cs="Noto Sans"/>
                <w:bCs/>
                <w:i/>
                <w:sz w:val="24"/>
                <w:szCs w:val="24"/>
              </w:rPr>
              <w:t>ictor.lelodelarrea</w:t>
            </w:r>
            <w:r w:rsidR="00C72784"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@nube.sep.gob.mx</w:t>
            </w:r>
          </w:p>
        </w:tc>
        <w:tc>
          <w:tcPr>
            <w:tcW w:w="4675" w:type="dxa"/>
          </w:tcPr>
          <w:p w14:paraId="6883856A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david.leon@nube.sep.gob.mx</w:t>
            </w:r>
          </w:p>
        </w:tc>
      </w:tr>
      <w:tr w:rsidR="00C72784" w:rsidRPr="003B7A12" w14:paraId="0E84DC51" w14:textId="77777777" w:rsidTr="00E41D98">
        <w:tc>
          <w:tcPr>
            <w:tcW w:w="4675" w:type="dxa"/>
          </w:tcPr>
          <w:p w14:paraId="20A9AA2C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</w:p>
        </w:tc>
        <w:tc>
          <w:tcPr>
            <w:tcW w:w="4675" w:type="dxa"/>
          </w:tcPr>
          <w:p w14:paraId="27F21E65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55917</w:t>
            </w:r>
          </w:p>
        </w:tc>
      </w:tr>
      <w:tr w:rsidR="00C72784" w:rsidRPr="003B7A12" w14:paraId="7419E76D" w14:textId="77777777" w:rsidTr="00E41D98">
        <w:trPr>
          <w:trHeight w:val="382"/>
        </w:trPr>
        <w:tc>
          <w:tcPr>
            <w:tcW w:w="4675" w:type="dxa"/>
          </w:tcPr>
          <w:p w14:paraId="1A04B7D1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/>
                <w:sz w:val="24"/>
                <w:szCs w:val="24"/>
              </w:rPr>
              <w:t>ELABORÓ</w:t>
            </w:r>
          </w:p>
        </w:tc>
        <w:tc>
          <w:tcPr>
            <w:tcW w:w="4675" w:type="dxa"/>
          </w:tcPr>
          <w:p w14:paraId="420C7CBB" w14:textId="77777777" w:rsidR="00C72784" w:rsidRPr="003B7A12" w:rsidRDefault="00C72784" w:rsidP="003B7A12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/>
                <w:sz w:val="24"/>
                <w:szCs w:val="24"/>
              </w:rPr>
              <w:t>REVISÓ</w:t>
            </w:r>
          </w:p>
        </w:tc>
      </w:tr>
    </w:tbl>
    <w:p w14:paraId="4D1E6F4D" w14:textId="77777777" w:rsidR="00281FCA" w:rsidRPr="003B7A12" w:rsidRDefault="00281FCA" w:rsidP="003B7A12">
      <w:pPr>
        <w:spacing w:line="360" w:lineRule="auto"/>
        <w:rPr>
          <w:rFonts w:ascii="Montserrat" w:hAnsi="Montserrat"/>
          <w:sz w:val="24"/>
          <w:szCs w:val="24"/>
        </w:rPr>
      </w:pPr>
    </w:p>
    <w:sectPr w:rsidR="00281FCA" w:rsidRPr="003B7A12" w:rsidSect="007F0EDD">
      <w:headerReference w:type="default" r:id="rId10"/>
      <w:footerReference w:type="default" r:id="rId11"/>
      <w:pgSz w:w="12240" w:h="15840"/>
      <w:pgMar w:top="2268" w:right="1440" w:bottom="2269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02C04" w14:textId="77777777" w:rsidR="000C28E0" w:rsidRPr="003A5DB2" w:rsidRDefault="000C28E0" w:rsidP="00997E2E">
      <w:r w:rsidRPr="003A5DB2">
        <w:separator/>
      </w:r>
    </w:p>
  </w:endnote>
  <w:endnote w:type="continuationSeparator" w:id="0">
    <w:p w14:paraId="59494F4B" w14:textId="77777777" w:rsidR="000C28E0" w:rsidRPr="003A5DB2" w:rsidRDefault="000C28E0" w:rsidP="00997E2E">
      <w:r w:rsidRPr="003A5DB2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ontserrat Black">
    <w:charset w:val="00"/>
    <w:family w:val="auto"/>
    <w:pitch w:val="variable"/>
    <w:sig w:usb0="2000020F" w:usb1="00000003" w:usb2="00000000" w:usb3="00000000" w:csb0="00000197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C323D" w14:textId="14FB6C4A" w:rsidR="00997E2E" w:rsidRPr="003A5DB2" w:rsidRDefault="007B7E00" w:rsidP="007F0EDD">
    <w:pPr>
      <w:pStyle w:val="Encabezado"/>
      <w:ind w:right="474"/>
      <w:rPr>
        <w:rFonts w:ascii="Noto Sans" w:hAnsi="Noto Sans" w:cs="Noto Sans"/>
        <w:sz w:val="18"/>
        <w:szCs w:val="18"/>
      </w:rPr>
    </w:pPr>
    <w:bookmarkStart w:id="2" w:name="_Hlk195261366"/>
    <w:bookmarkStart w:id="3" w:name="_Hlk195261367"/>
    <w:r w:rsidRPr="003A5DB2">
      <w:rPr>
        <w:rFonts w:ascii="Noto Sans" w:hAnsi="Noto Sans" w:cs="Noto Sans"/>
        <w:sz w:val="18"/>
        <w:szCs w:val="18"/>
      </w:rPr>
      <w:t xml:space="preserve">Página </w:t>
    </w:r>
    <w:r w:rsidRPr="003A5DB2">
      <w:rPr>
        <w:rFonts w:ascii="Noto Sans" w:hAnsi="Noto Sans" w:cs="Noto Sans"/>
        <w:b/>
        <w:bCs/>
        <w:sz w:val="18"/>
        <w:szCs w:val="18"/>
      </w:rPr>
      <w:fldChar w:fldCharType="begin"/>
    </w:r>
    <w:r w:rsidRPr="003A5DB2">
      <w:rPr>
        <w:rFonts w:ascii="Noto Sans" w:hAnsi="Noto Sans" w:cs="Noto Sans"/>
        <w:b/>
        <w:bCs/>
        <w:sz w:val="18"/>
        <w:szCs w:val="18"/>
      </w:rPr>
      <w:instrText>PAGE  \* Arabic  \* MERGEFORMAT</w:instrText>
    </w:r>
    <w:r w:rsidRPr="003A5DB2">
      <w:rPr>
        <w:rFonts w:ascii="Noto Sans" w:hAnsi="Noto Sans" w:cs="Noto Sans"/>
        <w:b/>
        <w:bCs/>
        <w:sz w:val="18"/>
        <w:szCs w:val="18"/>
      </w:rPr>
      <w:fldChar w:fldCharType="separate"/>
    </w:r>
    <w:r w:rsidRPr="003A5DB2">
      <w:rPr>
        <w:rFonts w:ascii="Noto Sans" w:hAnsi="Noto Sans" w:cs="Noto Sans"/>
        <w:b/>
        <w:bCs/>
        <w:sz w:val="18"/>
        <w:szCs w:val="18"/>
      </w:rPr>
      <w:t>1</w:t>
    </w:r>
    <w:r w:rsidRPr="003A5DB2">
      <w:rPr>
        <w:rFonts w:ascii="Noto Sans" w:hAnsi="Noto Sans" w:cs="Noto Sans"/>
        <w:b/>
        <w:bCs/>
        <w:sz w:val="18"/>
        <w:szCs w:val="18"/>
      </w:rPr>
      <w:fldChar w:fldCharType="end"/>
    </w:r>
    <w:r w:rsidRPr="003A5DB2">
      <w:rPr>
        <w:rFonts w:ascii="Noto Sans" w:hAnsi="Noto Sans" w:cs="Noto Sans"/>
        <w:sz w:val="18"/>
        <w:szCs w:val="18"/>
      </w:rPr>
      <w:t xml:space="preserve"> de </w:t>
    </w:r>
    <w:r w:rsidRPr="003A5DB2">
      <w:rPr>
        <w:rFonts w:ascii="Noto Sans" w:hAnsi="Noto Sans" w:cs="Noto Sans"/>
        <w:b/>
        <w:bCs/>
        <w:sz w:val="18"/>
        <w:szCs w:val="18"/>
      </w:rPr>
      <w:fldChar w:fldCharType="begin"/>
    </w:r>
    <w:r w:rsidRPr="003A5DB2">
      <w:rPr>
        <w:rFonts w:ascii="Noto Sans" w:hAnsi="Noto Sans" w:cs="Noto Sans"/>
        <w:b/>
        <w:bCs/>
        <w:sz w:val="18"/>
        <w:szCs w:val="18"/>
      </w:rPr>
      <w:instrText>NUMPAGES  \* Arabic  \* MERGEFORMAT</w:instrText>
    </w:r>
    <w:r w:rsidRPr="003A5DB2">
      <w:rPr>
        <w:rFonts w:ascii="Noto Sans" w:hAnsi="Noto Sans" w:cs="Noto Sans"/>
        <w:b/>
        <w:bCs/>
        <w:sz w:val="18"/>
        <w:szCs w:val="18"/>
      </w:rPr>
      <w:fldChar w:fldCharType="separate"/>
    </w:r>
    <w:r w:rsidRPr="003A5DB2">
      <w:rPr>
        <w:rFonts w:ascii="Noto Sans" w:hAnsi="Noto Sans" w:cs="Noto Sans"/>
        <w:b/>
        <w:bCs/>
        <w:sz w:val="18"/>
        <w:szCs w:val="18"/>
      </w:rPr>
      <w:t>2</w:t>
    </w:r>
    <w:r w:rsidRPr="003A5DB2">
      <w:rPr>
        <w:rFonts w:ascii="Noto Sans" w:hAnsi="Noto Sans" w:cs="Noto Sans"/>
        <w:b/>
        <w:bCs/>
        <w:sz w:val="18"/>
        <w:szCs w:val="18"/>
      </w:rPr>
      <w:fldChar w:fldCharType="end"/>
    </w:r>
    <w:r w:rsidR="00997E2E" w:rsidRPr="003A5DB2">
      <w:rPr>
        <w:rFonts w:ascii="Noto Sans" w:hAnsi="Noto Sans" w:cs="Noto Sans"/>
        <w:noProof/>
        <w:sz w:val="18"/>
        <w:szCs w:val="18"/>
      </w:rPr>
      <w:drawing>
        <wp:anchor distT="0" distB="0" distL="114300" distR="114300" simplePos="0" relativeHeight="251659776" behindDoc="1" locked="0" layoutInCell="1" allowOverlap="1" wp14:anchorId="7AF39D1A" wp14:editId="5FCF7196">
          <wp:simplePos x="0" y="0"/>
          <wp:positionH relativeFrom="column">
            <wp:posOffset>-948055</wp:posOffset>
          </wp:positionH>
          <wp:positionV relativeFrom="paragraph">
            <wp:posOffset>-254635</wp:posOffset>
          </wp:positionV>
          <wp:extent cx="7838208" cy="1421437"/>
          <wp:effectExtent l="0" t="0" r="0" b="7620"/>
          <wp:wrapNone/>
          <wp:docPr id="211865806" name="Imagen 2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9478927" name="Imagen 2" descr="Patrón de fond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38208" cy="14214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E5FFF8C" w14:textId="77777777" w:rsidR="00997E2E" w:rsidRPr="003A5DB2" w:rsidRDefault="00997E2E" w:rsidP="00997E2E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</w:p>
  <w:p w14:paraId="3D3E01B5" w14:textId="06503723" w:rsidR="00997E2E" w:rsidRPr="003A5DB2" w:rsidRDefault="00997E2E" w:rsidP="007F0EDD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  <w:r w:rsidRPr="003A5DB2">
      <w:rPr>
        <w:rFonts w:ascii="Noto Sans" w:hAnsi="Noto Sans" w:cs="Noto Sans"/>
        <w:sz w:val="18"/>
        <w:szCs w:val="18"/>
      </w:rPr>
      <w:t>Unidad de Administración y Finanzas</w:t>
    </w:r>
    <w:r w:rsidRPr="003A5DB2">
      <w:rPr>
        <w:rFonts w:ascii="Noto Sans" w:hAnsi="Noto Sans" w:cs="Noto Sans"/>
        <w:sz w:val="18"/>
        <w:szCs w:val="18"/>
      </w:rPr>
      <w:tab/>
    </w:r>
  </w:p>
  <w:p w14:paraId="0ED43F25" w14:textId="253CB4DD" w:rsidR="00997E2E" w:rsidRPr="003A5DB2" w:rsidRDefault="00997E2E" w:rsidP="007F0EDD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  <w:r w:rsidRPr="003A5DB2">
      <w:rPr>
        <w:rFonts w:ascii="Noto Sans" w:hAnsi="Noto Sans" w:cs="Noto Sans"/>
        <w:sz w:val="18"/>
        <w:szCs w:val="18"/>
      </w:rPr>
      <w:t>Dirección General de Tecnologías de</w:t>
    </w:r>
    <w:r w:rsidRPr="003A5DB2">
      <w:rPr>
        <w:rFonts w:ascii="Noto Sans" w:hAnsi="Noto Sans" w:cs="Noto Sans"/>
        <w:sz w:val="18"/>
        <w:szCs w:val="18"/>
      </w:rPr>
      <w:tab/>
      <w:t xml:space="preserve"> </w:t>
    </w:r>
  </w:p>
  <w:p w14:paraId="7F871F5E" w14:textId="224A0ED0" w:rsidR="00997E2E" w:rsidRPr="003A5DB2" w:rsidRDefault="00997E2E" w:rsidP="007F0EDD">
    <w:pPr>
      <w:pStyle w:val="Encabezado"/>
      <w:ind w:right="474"/>
      <w:jc w:val="right"/>
      <w:rPr>
        <w:rFonts w:ascii="Noto Sans" w:hAnsi="Noto Sans" w:cs="Noto Sans"/>
        <w:sz w:val="18"/>
        <w:szCs w:val="18"/>
      </w:rPr>
    </w:pPr>
    <w:r w:rsidRPr="003A5DB2">
      <w:rPr>
        <w:rFonts w:ascii="Noto Sans" w:hAnsi="Noto Sans" w:cs="Noto Sans"/>
        <w:sz w:val="18"/>
        <w:szCs w:val="18"/>
      </w:rPr>
      <w:t>la Información y Comunicaciones</w:t>
    </w:r>
    <w:r w:rsidRPr="003A5DB2">
      <w:rPr>
        <w:rFonts w:ascii="Noto Sans" w:hAnsi="Noto Sans" w:cs="Noto Sans"/>
        <w:sz w:val="18"/>
        <w:szCs w:val="18"/>
      </w:rPr>
      <w:tab/>
    </w:r>
  </w:p>
  <w:bookmarkEnd w:id="2"/>
  <w:bookmarkEnd w:id="3"/>
  <w:p w14:paraId="7DCB4A70" w14:textId="77777777" w:rsidR="00997E2E" w:rsidRPr="003A5DB2" w:rsidRDefault="00997E2E" w:rsidP="00997E2E">
    <w:pPr>
      <w:pStyle w:val="Encabezado"/>
      <w:ind w:right="474"/>
      <w:jc w:val="right"/>
    </w:pPr>
  </w:p>
  <w:p w14:paraId="370C7DA8" w14:textId="7BBD45B3" w:rsidR="00E42075" w:rsidRPr="003A5DB2" w:rsidRDefault="00E42075" w:rsidP="00997E2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59F2D" w14:textId="77777777" w:rsidR="000C28E0" w:rsidRPr="003A5DB2" w:rsidRDefault="000C28E0" w:rsidP="00997E2E">
      <w:r w:rsidRPr="003A5DB2">
        <w:separator/>
      </w:r>
    </w:p>
  </w:footnote>
  <w:footnote w:type="continuationSeparator" w:id="0">
    <w:p w14:paraId="2C41A11D" w14:textId="77777777" w:rsidR="000C28E0" w:rsidRPr="003A5DB2" w:rsidRDefault="000C28E0" w:rsidP="00997E2E">
      <w:r w:rsidRPr="003A5DB2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EFA5C" w14:textId="77777777" w:rsidR="00997E2E" w:rsidRPr="003A5DB2" w:rsidRDefault="00997E2E" w:rsidP="00997E2E">
    <w:pPr>
      <w:pStyle w:val="Encabezado"/>
    </w:pPr>
    <w:r w:rsidRPr="003A5DB2">
      <w:rPr>
        <w:noProof/>
      </w:rPr>
      <w:drawing>
        <wp:anchor distT="0" distB="0" distL="114300" distR="114300" simplePos="0" relativeHeight="251657728" behindDoc="1" locked="0" layoutInCell="1" allowOverlap="1" wp14:anchorId="7FF4A81D" wp14:editId="7838572A">
          <wp:simplePos x="0" y="0"/>
          <wp:positionH relativeFrom="column">
            <wp:posOffset>-1200150</wp:posOffset>
          </wp:positionH>
          <wp:positionV relativeFrom="paragraph">
            <wp:posOffset>-457201</wp:posOffset>
          </wp:positionV>
          <wp:extent cx="8141154" cy="1476375"/>
          <wp:effectExtent l="0" t="0" r="0" b="0"/>
          <wp:wrapNone/>
          <wp:docPr id="541353134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66110" cy="1499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4A7A3B8" w14:textId="751E94E5" w:rsidR="00997E2E" w:rsidRPr="003A5DB2" w:rsidRDefault="00997E2E" w:rsidP="00997E2E">
    <w:pPr>
      <w:pStyle w:val="Encabezado"/>
      <w:jc w:val="right"/>
    </w:pPr>
    <w:r w:rsidRPr="003A5DB2">
      <w:t>Unidad de Administración y Finanzas</w:t>
    </w:r>
    <w:r w:rsidRPr="003A5DB2">
      <w:tab/>
    </w:r>
  </w:p>
  <w:p w14:paraId="7E408CE7" w14:textId="31431E63" w:rsidR="00997E2E" w:rsidRPr="003A5DB2" w:rsidRDefault="00997E2E" w:rsidP="00997E2E">
    <w:pPr>
      <w:pStyle w:val="Encabezado"/>
      <w:jc w:val="right"/>
    </w:pPr>
    <w:r w:rsidRPr="003A5DB2">
      <w:t>Dirección General de Tecnologías de</w:t>
    </w:r>
    <w:r w:rsidRPr="003A5DB2">
      <w:tab/>
      <w:t xml:space="preserve"> </w:t>
    </w:r>
  </w:p>
  <w:p w14:paraId="0D6A6991" w14:textId="76F185EB" w:rsidR="00997E2E" w:rsidRPr="003A5DB2" w:rsidRDefault="00997E2E" w:rsidP="00997E2E">
    <w:pPr>
      <w:pStyle w:val="Encabezado"/>
      <w:jc w:val="right"/>
    </w:pPr>
    <w:r w:rsidRPr="003A5DB2">
      <w:t>la Información y Comunicaciones</w:t>
    </w:r>
    <w:r w:rsidRPr="003A5DB2">
      <w:tab/>
    </w:r>
  </w:p>
  <w:p w14:paraId="466085AA" w14:textId="77777777" w:rsidR="00997E2E" w:rsidRPr="003A5DB2" w:rsidRDefault="00997E2E" w:rsidP="00997E2E">
    <w:pPr>
      <w:pStyle w:val="Encabezado"/>
    </w:pPr>
  </w:p>
  <w:p w14:paraId="57844811" w14:textId="77777777" w:rsidR="00997E2E" w:rsidRPr="003A5DB2" w:rsidRDefault="00997E2E" w:rsidP="00997E2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2CA2BA5"/>
    <w:multiLevelType w:val="multilevel"/>
    <w:tmpl w:val="0DEC7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A24D95"/>
    <w:multiLevelType w:val="hybridMultilevel"/>
    <w:tmpl w:val="0EDC77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5C1DAF"/>
    <w:multiLevelType w:val="multilevel"/>
    <w:tmpl w:val="06E0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F771F"/>
    <w:multiLevelType w:val="hybridMultilevel"/>
    <w:tmpl w:val="660C78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A736D4"/>
    <w:multiLevelType w:val="multilevel"/>
    <w:tmpl w:val="3790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D74056"/>
    <w:multiLevelType w:val="hybridMultilevel"/>
    <w:tmpl w:val="F8E884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C20551"/>
    <w:multiLevelType w:val="hybridMultilevel"/>
    <w:tmpl w:val="9EBC212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8523C8"/>
    <w:multiLevelType w:val="multilevel"/>
    <w:tmpl w:val="4648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1797777">
    <w:abstractNumId w:val="6"/>
  </w:num>
  <w:num w:numId="2" w16cid:durableId="2103646062">
    <w:abstractNumId w:val="4"/>
  </w:num>
  <w:num w:numId="3" w16cid:durableId="441605867">
    <w:abstractNumId w:val="3"/>
  </w:num>
  <w:num w:numId="4" w16cid:durableId="1048606953">
    <w:abstractNumId w:val="5"/>
  </w:num>
  <w:num w:numId="5" w16cid:durableId="658462606">
    <w:abstractNumId w:val="1"/>
  </w:num>
  <w:num w:numId="6" w16cid:durableId="1449011546">
    <w:abstractNumId w:val="0"/>
  </w:num>
  <w:num w:numId="7" w16cid:durableId="767509364">
    <w:abstractNumId w:val="12"/>
  </w:num>
  <w:num w:numId="8" w16cid:durableId="1187519976">
    <w:abstractNumId w:val="8"/>
  </w:num>
  <w:num w:numId="9" w16cid:durableId="774518276">
    <w:abstractNumId w:val="7"/>
  </w:num>
  <w:num w:numId="10" w16cid:durableId="2009867063">
    <w:abstractNumId w:val="10"/>
  </w:num>
  <w:num w:numId="11" w16cid:durableId="1924602666">
    <w:abstractNumId w:val="13"/>
  </w:num>
  <w:num w:numId="12" w16cid:durableId="2021344936">
    <w:abstractNumId w:val="2"/>
  </w:num>
  <w:num w:numId="13" w16cid:durableId="898826580">
    <w:abstractNumId w:val="14"/>
  </w:num>
  <w:num w:numId="14" w16cid:durableId="1154419767">
    <w:abstractNumId w:val="9"/>
  </w:num>
  <w:num w:numId="15" w16cid:durableId="1024399892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62C"/>
    <w:rsid w:val="000110DF"/>
    <w:rsid w:val="000179EB"/>
    <w:rsid w:val="00034616"/>
    <w:rsid w:val="000370F9"/>
    <w:rsid w:val="00055D65"/>
    <w:rsid w:val="00057AD0"/>
    <w:rsid w:val="0006063C"/>
    <w:rsid w:val="00083F2C"/>
    <w:rsid w:val="00084C49"/>
    <w:rsid w:val="00090885"/>
    <w:rsid w:val="000C28E0"/>
    <w:rsid w:val="000C6807"/>
    <w:rsid w:val="000E2A85"/>
    <w:rsid w:val="0011731C"/>
    <w:rsid w:val="001427DC"/>
    <w:rsid w:val="0015074B"/>
    <w:rsid w:val="00157EAF"/>
    <w:rsid w:val="00176EC1"/>
    <w:rsid w:val="001A3E81"/>
    <w:rsid w:val="001C128F"/>
    <w:rsid w:val="001E4A8B"/>
    <w:rsid w:val="001F6D0E"/>
    <w:rsid w:val="00204D8B"/>
    <w:rsid w:val="0021558B"/>
    <w:rsid w:val="00217143"/>
    <w:rsid w:val="00281FC3"/>
    <w:rsid w:val="00281FCA"/>
    <w:rsid w:val="0029639D"/>
    <w:rsid w:val="002B281F"/>
    <w:rsid w:val="002C3587"/>
    <w:rsid w:val="002C5C4E"/>
    <w:rsid w:val="003067C9"/>
    <w:rsid w:val="00310D52"/>
    <w:rsid w:val="00322ECA"/>
    <w:rsid w:val="0032551C"/>
    <w:rsid w:val="00326D19"/>
    <w:rsid w:val="00326F90"/>
    <w:rsid w:val="00364FFA"/>
    <w:rsid w:val="003900CC"/>
    <w:rsid w:val="0039521E"/>
    <w:rsid w:val="003A3A97"/>
    <w:rsid w:val="003A5DB2"/>
    <w:rsid w:val="003B5DF2"/>
    <w:rsid w:val="003B7A12"/>
    <w:rsid w:val="003C7FA1"/>
    <w:rsid w:val="003F7817"/>
    <w:rsid w:val="00440931"/>
    <w:rsid w:val="0045232B"/>
    <w:rsid w:val="00460181"/>
    <w:rsid w:val="00477234"/>
    <w:rsid w:val="00490C87"/>
    <w:rsid w:val="0049360B"/>
    <w:rsid w:val="004A577B"/>
    <w:rsid w:val="004D2F30"/>
    <w:rsid w:val="004D6556"/>
    <w:rsid w:val="004F6419"/>
    <w:rsid w:val="005014CD"/>
    <w:rsid w:val="00517CFC"/>
    <w:rsid w:val="00547C5E"/>
    <w:rsid w:val="00555191"/>
    <w:rsid w:val="0057038B"/>
    <w:rsid w:val="005F77E9"/>
    <w:rsid w:val="00606958"/>
    <w:rsid w:val="00614DF1"/>
    <w:rsid w:val="00643CB0"/>
    <w:rsid w:val="0065130E"/>
    <w:rsid w:val="006608CE"/>
    <w:rsid w:val="006942DE"/>
    <w:rsid w:val="006B5472"/>
    <w:rsid w:val="007138C2"/>
    <w:rsid w:val="00714169"/>
    <w:rsid w:val="00762984"/>
    <w:rsid w:val="007B7E00"/>
    <w:rsid w:val="007C3C28"/>
    <w:rsid w:val="007C519E"/>
    <w:rsid w:val="007C6CE5"/>
    <w:rsid w:val="007D3EBE"/>
    <w:rsid w:val="007D76F8"/>
    <w:rsid w:val="007F0EDD"/>
    <w:rsid w:val="007F53AE"/>
    <w:rsid w:val="00802FD5"/>
    <w:rsid w:val="00815657"/>
    <w:rsid w:val="008170A1"/>
    <w:rsid w:val="0085498B"/>
    <w:rsid w:val="00863E93"/>
    <w:rsid w:val="008916FA"/>
    <w:rsid w:val="0090295F"/>
    <w:rsid w:val="00907CAD"/>
    <w:rsid w:val="00941C93"/>
    <w:rsid w:val="00977E0D"/>
    <w:rsid w:val="0098514F"/>
    <w:rsid w:val="009915B2"/>
    <w:rsid w:val="00997E2E"/>
    <w:rsid w:val="009A0624"/>
    <w:rsid w:val="009B4888"/>
    <w:rsid w:val="009B7639"/>
    <w:rsid w:val="00A149CB"/>
    <w:rsid w:val="00A276F6"/>
    <w:rsid w:val="00A96A40"/>
    <w:rsid w:val="00AA1D8D"/>
    <w:rsid w:val="00AC51FC"/>
    <w:rsid w:val="00AD19C4"/>
    <w:rsid w:val="00B22EB7"/>
    <w:rsid w:val="00B47730"/>
    <w:rsid w:val="00B54250"/>
    <w:rsid w:val="00B614EE"/>
    <w:rsid w:val="00B72F19"/>
    <w:rsid w:val="00B94D44"/>
    <w:rsid w:val="00BF1A0A"/>
    <w:rsid w:val="00C023B4"/>
    <w:rsid w:val="00C52C1F"/>
    <w:rsid w:val="00C5797C"/>
    <w:rsid w:val="00C663DF"/>
    <w:rsid w:val="00C72784"/>
    <w:rsid w:val="00CB0664"/>
    <w:rsid w:val="00CE3CE1"/>
    <w:rsid w:val="00CF5767"/>
    <w:rsid w:val="00D27B0B"/>
    <w:rsid w:val="00D3559E"/>
    <w:rsid w:val="00D94679"/>
    <w:rsid w:val="00DD799D"/>
    <w:rsid w:val="00E42075"/>
    <w:rsid w:val="00E60372"/>
    <w:rsid w:val="00E71416"/>
    <w:rsid w:val="00EA0966"/>
    <w:rsid w:val="00EC77A7"/>
    <w:rsid w:val="00EE6865"/>
    <w:rsid w:val="00EE6F82"/>
    <w:rsid w:val="00F51697"/>
    <w:rsid w:val="00F67D4A"/>
    <w:rsid w:val="00FB3D26"/>
    <w:rsid w:val="00FC693F"/>
    <w:rsid w:val="00FD4911"/>
    <w:rsid w:val="00FE41BC"/>
    <w:rsid w:val="03B69A47"/>
    <w:rsid w:val="04C756C6"/>
    <w:rsid w:val="1121F291"/>
    <w:rsid w:val="26CC5551"/>
    <w:rsid w:val="42B1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042969"/>
  <w14:defaultImageDpi w14:val="330"/>
  <w15:docId w15:val="{B4292754-20B5-42DC-B4AF-B7BC7ABB1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E2E"/>
    <w:rPr>
      <w:rFonts w:ascii="Open Sans" w:hAnsi="Open Sans"/>
      <w:color w:val="545454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76EC1"/>
    <w:pPr>
      <w:outlineLvl w:val="0"/>
    </w:pPr>
    <w:rPr>
      <w:b/>
      <w:color w:val="9F2241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7E2E"/>
    <w:pPr>
      <w:outlineLvl w:val="1"/>
    </w:pPr>
    <w:rPr>
      <w:b/>
      <w:bCs/>
      <w:color w:val="9F2241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F0EDD"/>
    <w:pPr>
      <w:outlineLvl w:val="2"/>
    </w:pPr>
    <w:rPr>
      <w:b/>
      <w:bCs/>
      <w:color w:val="9F224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176EC1"/>
    <w:rPr>
      <w:rFonts w:ascii="Open Sans" w:hAnsi="Open Sans"/>
      <w:b/>
      <w:color w:val="9F2241"/>
    </w:rPr>
  </w:style>
  <w:style w:type="character" w:customStyle="1" w:styleId="Ttulo2Car">
    <w:name w:val="Título 2 Car"/>
    <w:basedOn w:val="Fuentedeprrafopredeter"/>
    <w:link w:val="Ttulo2"/>
    <w:uiPriority w:val="9"/>
    <w:rsid w:val="00997E2E"/>
    <w:rPr>
      <w:rFonts w:ascii="Open Sans" w:hAnsi="Open Sans"/>
      <w:b/>
      <w:bCs/>
      <w:color w:val="9F2241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7F0EDD"/>
    <w:rPr>
      <w:rFonts w:ascii="Open Sans" w:hAnsi="Open Sans"/>
      <w:b/>
      <w:bCs/>
      <w:color w:val="9F2241"/>
    </w:rPr>
  </w:style>
  <w:style w:type="paragraph" w:styleId="Ttulo">
    <w:name w:val="Title"/>
    <w:basedOn w:val="Encabezado"/>
    <w:next w:val="Normal"/>
    <w:link w:val="TtuloCar"/>
    <w:uiPriority w:val="10"/>
    <w:qFormat/>
    <w:rsid w:val="00217143"/>
    <w:pPr>
      <w:spacing w:before="120" w:after="300"/>
      <w:jc w:val="center"/>
    </w:pPr>
    <w:rPr>
      <w:rFonts w:ascii="Montserrat" w:hAnsi="Montserrat"/>
      <w:b/>
      <w:color w:val="9F2241"/>
      <w:sz w:val="32"/>
      <w:szCs w:val="32"/>
    </w:rPr>
  </w:style>
  <w:style w:type="character" w:customStyle="1" w:styleId="TtuloCar">
    <w:name w:val="Título Car"/>
    <w:basedOn w:val="Fuentedeprrafopredeter"/>
    <w:link w:val="Ttulo"/>
    <w:uiPriority w:val="10"/>
    <w:rsid w:val="00217143"/>
    <w:rPr>
      <w:rFonts w:ascii="Montserrat" w:hAnsi="Montserrat"/>
      <w:b/>
      <w:color w:val="9F2241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143"/>
    <w:pPr>
      <w:spacing w:after="240"/>
    </w:pPr>
    <w:rPr>
      <w:rFonts w:ascii="Montserrat Black" w:hAnsi="Montserrat Black"/>
      <w:color w:val="235B4E"/>
      <w:kern w:val="28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143"/>
    <w:rPr>
      <w:rFonts w:ascii="Montserrat Black" w:hAnsi="Montserrat Black"/>
      <w:color w:val="235B4E"/>
      <w:kern w:val="28"/>
      <w:sz w:val="28"/>
      <w:szCs w:val="28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aliases w:val="Tabla Microsoft Servicios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057AD0"/>
    <w:rPr>
      <w:color w:val="0000FF" w:themeColor="hyperlink"/>
      <w:u w:val="single"/>
    </w:rPr>
  </w:style>
  <w:style w:type="table" w:styleId="Tablaconcuadrcula1Claro-nfasis2">
    <w:name w:val="Grid Table 1 Light Accent 2"/>
    <w:basedOn w:val="Tablanormal"/>
    <w:uiPriority w:val="46"/>
    <w:rsid w:val="00057AD0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7B7E00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C72784"/>
    <w:pPr>
      <w:spacing w:after="0" w:line="240" w:lineRule="auto"/>
    </w:pPr>
    <w:rPr>
      <w:rFonts w:eastAsiaTheme="minorHAnsi"/>
      <w:kern w:val="2"/>
      <w:sz w:val="24"/>
      <w:szCs w:val="24"/>
      <w:lang w:val="es-MX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99"/>
    <w:rsid w:val="00EE686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99"/>
    <w:rsid w:val="00EE68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9B7639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9B7639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71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1182</Words>
  <Characters>6503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Lelo de Larrea</cp:lastModifiedBy>
  <cp:revision>17</cp:revision>
  <cp:lastPrinted>2026-01-20T21:57:00Z</cp:lastPrinted>
  <dcterms:created xsi:type="dcterms:W3CDTF">2026-01-19T19:50:00Z</dcterms:created>
  <dcterms:modified xsi:type="dcterms:W3CDTF">2026-06-23T21:48:00Z</dcterms:modified>
  <cp:category/>
</cp:coreProperties>
</file>