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7B842" w14:textId="77777777" w:rsidR="00CD686A" w:rsidRDefault="00CD686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Extendida de Entrega, Inventario Técnico y Cierre Trimestral (Master Handover)</w:t>
      </w:r>
    </w:p>
    <w:p w14:paraId="5E0496F0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Cierre: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711F62A8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5C18AF54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3A0B23B9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586653DC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Auditoría Gubernamental CMMI Nivel 3 </w:t>
      </w:r>
    </w:p>
    <w:p w14:paraId="68AC0F16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742C5D">
          <v:rect id="_x0000_i1025" style="width:0;height:1.5pt" o:hralign="center" o:hrstd="t" o:hr="t" fillcolor="#a0a0a0" stroked="f"/>
        </w:pict>
      </w:r>
    </w:p>
    <w:p w14:paraId="2BCBBBF9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 Cierre y Transferencia Integral (Handover)</w:t>
      </w:r>
    </w:p>
    <w:p w14:paraId="41F71866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presente documento no constituye únicamente un reporte de avance mensual, sino que opera como el </w:t>
      </w:r>
      <w:r>
        <w:rPr>
          <w:rStyle w:val="Fuerte"/>
          <w:rFonts w:ascii="Calibri" w:hAnsi="Calibri" w:cs="Calibri"/>
          <w:sz w:val="22"/>
          <w:szCs w:val="22"/>
        </w:rPr>
        <w:t>Acta Definitiva de Cierre (Master Handover)</w:t>
      </w:r>
      <w:r>
        <w:rPr>
          <w:rFonts w:ascii="Calibri" w:hAnsi="Calibri" w:cs="Calibri"/>
          <w:sz w:val="22"/>
          <w:szCs w:val="22"/>
        </w:rPr>
        <w:t xml:space="preserve"> de los trabajos de consultoría técnica efectuados bajo mi responsabilidad durante el último trimestre. Su propósito fundamental es acreditar la transferencia legal, tecnológica y de conocimientos sobre dos proyectos de misión crítica para la Secretaría de Educación Pública (SEP):</w:t>
      </w:r>
    </w:p>
    <w:p w14:paraId="3F6FCBD5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La Plataforma de Inteligencia Analítica MUSEMS-PU</w:t>
      </w:r>
    </w:p>
    <w:p w14:paraId="3EEB8EDC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El Sistema Orquestador de Descargas de Vida Saludable (Fase 2)</w:t>
      </w:r>
    </w:p>
    <w:p w14:paraId="6DD457A6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de 2026, la máxima prioridad fue consolidar el estado del arte tecnológico en ambas soluciones, garantizando no solo su operatividad y despliegue exitoso (alcanzando su etapa formal *Release Candidate 1*), sino blindando su cumplimiento absoluto frente a normativas gubernamentales de ciberseguridad, protección de datos personales (LGPDPPSO) y mantenibilidad institucional (DevSecOps). Se entregan sistemas estables, resilientes y documentados a nivel forense.</w:t>
      </w:r>
    </w:p>
    <w:p w14:paraId="06337152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0D68CAD">
          <v:rect id="_x0000_i1026" style="width:0;height:1.5pt" o:hralign="center" o:hrstd="t" o:hr="t" fillcolor="#a0a0a0" stroked="f"/>
        </w:pict>
      </w:r>
    </w:p>
    <w:p w14:paraId="7E8F0D8F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Visión Arquitectónica y Topología General Transferida</w:t>
      </w:r>
    </w:p>
    <w:p w14:paraId="51081EAF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Ambos ecosistemas fueron rediseñados y migrados desde arquitecturas monolíticas o dispersas hacia topologías orientadas a microservicios e integraciones asíncronas modernas. A continuación, se detalla la herencia estructural que se cede a la institución.</w:t>
      </w:r>
    </w:p>
    <w:p w14:paraId="3F8E039B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2.1 Ecosistema de Inteligencia Analítica (MUSEMS-PU)</w:t>
      </w:r>
    </w:p>
    <w:p w14:paraId="462D1797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4AEEE43B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1BDEB7A8" wp14:editId="4A3878F4">
            <wp:extent cx="4465320" cy="864108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6863F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Principios Estructurales Aprobados y Entregados:</w:t>
      </w:r>
    </w:p>
    <w:p w14:paraId="7A48FE6B" w14:textId="77777777" w:rsidR="00CD686A" w:rsidRDefault="00CD686A" w:rsidP="00CD686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Segregación de Capas:</w:t>
      </w:r>
      <w:r>
        <w:rPr>
          <w:rFonts w:ascii="Calibri" w:eastAsia="Times New Roman" w:hAnsi="Calibri" w:cs="Calibri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5D553F69" w14:textId="77777777" w:rsidR="00CD686A" w:rsidRDefault="00CD686A" w:rsidP="00CD686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Conexiones:</w:t>
      </w:r>
      <w:r>
        <w:rPr>
          <w:rFonts w:ascii="Calibri" w:eastAsia="Times New Roman" w:hAnsi="Calibri" w:cs="Calibri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2A6E98C1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Motor Orquestador Asíncrono (Vida Saludable Fase 2)</w:t>
      </w:r>
    </w:p>
    <w:p w14:paraId="6FE6F662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heredado (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>) ha sido transmutado hacia una arquitectura orquestada y "Zero Persistence", mitigando el almacenamiento indebido de PII.</w:t>
      </w:r>
    </w:p>
    <w:p w14:paraId="0A86F861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73850912" wp14:editId="51B9EEF9">
            <wp:extent cx="17282160" cy="27432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821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4E91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DFBF16">
          <v:rect id="_x0000_i1027" style="width:0;height:1.5pt" o:hralign="center" o:hrstd="t" o:hr="t" fillcolor="#a0a0a0" stroked="f"/>
        </w:pict>
      </w:r>
    </w:p>
    <w:p w14:paraId="6F1A0CC1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Resolución de Auditorías y Cierre de Brechas de Ciberseguridad</w:t>
      </w:r>
    </w:p>
    <w:p w14:paraId="55684086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legado técnico más importante de esta gestión ha sido la transformación cultural y de seguridad en el código, subsanando pasivos críticos descubiertos durante las fases de análisis (abril y mayo).</w:t>
      </w:r>
    </w:p>
    <w:p w14:paraId="1B802AA0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Blindaje de Criptografía e Inyecciones SQL (Vida Saludable)</w:t>
      </w:r>
    </w:p>
    <w:p w14:paraId="1EEFFCB7" w14:textId="77777777" w:rsidR="00CD686A" w:rsidRDefault="00CD686A" w:rsidP="00CD686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Mitigación Issue 60 (Transición AES-256-GCM):</w:t>
      </w:r>
      <w:r>
        <w:rPr>
          <w:rFonts w:ascii="Calibri" w:eastAsia="Times New Roman" w:hAnsi="Calibri" w:cs="Calibri"/>
        </w:rPr>
        <w:t xml:space="preserve"> Se descubrió que la interacción histórica con los Web Services del IMSS utilizaba un estándar inseguro (AES-ECB) propenso a análisis criptográfico de patrones. En junio, se finalizó la migración hacia AES-256 en modo GCM (Galois/Counter Mode), proveyendo adicionalmente validación de integridad para prevenir manipulación del *token* en tránsito.</w:t>
      </w:r>
    </w:p>
    <w:p w14:paraId="77BEC1FB" w14:textId="77777777" w:rsidR="00CD686A" w:rsidRDefault="00CD686A" w:rsidP="00CD686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Remediación Issue 61 (SQL Injection Zero-Tolerance):</w:t>
      </w:r>
      <w:r>
        <w:rPr>
          <w:rFonts w:ascii="Calibri" w:eastAsia="Times New Roman" w:hAnsi="Calibri" w:cs="Calibri"/>
        </w:rPr>
        <w:t xml:space="preserve"> Se erradicó por completo la construcción dinámica de filtros (f-strings) en la capa de persistencia </w:t>
      </w:r>
      <w:r>
        <w:rPr>
          <w:rStyle w:val="CdigoHTML"/>
        </w:rPr>
        <w:t>pg8000</w:t>
      </w:r>
      <w:r>
        <w:rPr>
          <w:rFonts w:ascii="Calibri" w:eastAsia="Times New Roman" w:hAnsi="Calibri" w:cs="Calibri"/>
        </w:rPr>
        <w:t xml:space="preserve">, parametrizando todas y cada una de las *queries*, blindando la lectura de la tabla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</w:rPr>
        <w:t xml:space="preserve"> y del historial de lotes contra intentos de inyección estructurada.</w:t>
      </w:r>
    </w:p>
    <w:p w14:paraId="6C24C1A7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Implementación Defensiva en MUSEMS-PU</w:t>
      </w:r>
    </w:p>
    <w:p w14:paraId="59260D17" w14:textId="77777777" w:rsidR="00CD686A" w:rsidRDefault="00CD686A" w:rsidP="00CD686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Prevención de Denegación de Servicio (Rate Limiting):</w:t>
      </w:r>
      <w:r>
        <w:rPr>
          <w:rFonts w:ascii="Calibri" w:eastAsia="Times New Roman" w:hAnsi="Calibri" w:cs="Calibri"/>
        </w:rPr>
        <w:t xml:space="preserve"> Ante el riesgo de explotación de fuerza bruta en los accesos institucionales, se configuró y probó bajo estrés la librería </w:t>
      </w:r>
      <w:r>
        <w:rPr>
          <w:rStyle w:val="CdigoHTML"/>
        </w:rPr>
        <w:t>slowapi</w:t>
      </w:r>
      <w:r>
        <w:rPr>
          <w:rFonts w:ascii="Calibri" w:eastAsia="Times New Roman" w:hAnsi="Calibri" w:cs="Calibri"/>
        </w:rPr>
        <w:t xml:space="preserve">. Se cede una API configurada con restricciones firmes (ej. 5 peticiones por minuto en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</w:rPr>
        <w:t>), interrumpiendo tempranamente los asedios mediante respuestas HTTP 429 sin agotar los recursos transaccionales de Oracle.</w:t>
      </w:r>
    </w:p>
    <w:p w14:paraId="23D11B13" w14:textId="77777777" w:rsidR="00CD686A" w:rsidRDefault="00CD686A" w:rsidP="00CD686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Mitigación Issue 55 (Rendimiento Hashing):</w:t>
      </w:r>
      <w:r>
        <w:rPr>
          <w:rFonts w:ascii="Calibri" w:eastAsia="Times New Roman" w:hAnsi="Calibri" w:cs="Calibri"/>
        </w:rPr>
        <w:t xml:space="preserve"> Se modernizó la gestión criptográfica interna deshabilitando el motor 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 xml:space="preserve"> a favor de la biblioteca nativa </w:t>
      </w:r>
      <w:r>
        <w:rPr>
          <w:rStyle w:val="CdigoHTML"/>
        </w:rPr>
        <w:t>bcrypt</w:t>
      </w:r>
      <w:r>
        <w:rPr>
          <w:rFonts w:ascii="Calibri" w:eastAsia="Times New Roman" w:hAnsi="Calibri" w:cs="Calibri"/>
        </w:rPr>
        <w:t>, logrando una reducción calculada del 18% en los ciclos de CPU durante el análisis forense de *login*.</w:t>
      </w:r>
    </w:p>
    <w:p w14:paraId="28087B13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B28610">
          <v:rect id="_x0000_i1028" style="width:0;height:1.5pt" o:hralign="center" o:hrstd="t" o:hr="t" fillcolor="#a0a0a0" stroked="f"/>
        </w:pict>
      </w:r>
    </w:p>
    <w:p w14:paraId="68665334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Gobernanza DevSecOps y Automatización (ETL Documental)</w:t>
      </w:r>
    </w:p>
    <w:p w14:paraId="3892E0C9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junio, el concepto de extracción y transformación de datos (ETL) fue llevado un paso más allá, implementándose un poderoso *Pipeline* de Aseguramiento Continuo de Calidad (CI/CD) que no permite fallas estructurales.</w:t>
      </w:r>
    </w:p>
    <w:p w14:paraId="75C65243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544ECCF9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6E1A5761" w14:textId="77777777" w:rsidR="00CD686A" w:rsidRDefault="00CD686A" w:rsidP="00CD68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039705CD" w14:textId="77777777" w:rsidR="00CD686A" w:rsidRDefault="00CD686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53C629C4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743D290E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ECDC9D7">
          <v:rect id="_x0000_i1029" style="width:0;height:1.5pt" o:hralign="center" o:hrstd="t" o:hr="t" fillcolor="#a0a0a0" stroked="f"/>
        </w:pict>
      </w:r>
    </w:p>
    <w:p w14:paraId="695CEAA8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Resumen de Despliegue Oficial en Ambiente QA</w:t>
      </w:r>
    </w:p>
    <w:p w14:paraId="2CA31084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sistema MUSEMS se entrega funcional, aprovisionado y certificado por las pruebas *End-to-End* en el clúster de Aseguramiento de la Calidad (QA) de la SEP.</w:t>
      </w:r>
    </w:p>
    <w:p w14:paraId="06BD577F" w14:textId="77777777" w:rsidR="00CD686A" w:rsidRDefault="00CD686A" w:rsidP="00CD68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Endpoint del Servidor Web: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http://168.255.101.231:8086/</w:t>
      </w:r>
    </w:p>
    <w:p w14:paraId="28D257D0" w14:textId="77777777" w:rsidR="00CD686A" w:rsidRDefault="00CD686A" w:rsidP="00CD68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Nodos de Base de Datos: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168.255.101.67:1530/MUSEMSD</w:t>
      </w:r>
      <w:r>
        <w:rPr>
          <w:rFonts w:ascii="Calibri" w:eastAsia="Times New Roman" w:hAnsi="Calibri" w:cs="Calibri"/>
        </w:rPr>
        <w:t xml:space="preserve"> (Esquema: </w:t>
      </w:r>
      <w:r>
        <w:rPr>
          <w:rStyle w:val="CdigoHTML"/>
        </w:rPr>
        <w:t>MUSEMSQA</w:t>
      </w:r>
      <w:r>
        <w:rPr>
          <w:rFonts w:ascii="Calibri" w:eastAsia="Times New Roman" w:hAnsi="Calibri" w:cs="Calibri"/>
        </w:rPr>
        <w:t>)</w:t>
      </w:r>
    </w:p>
    <w:p w14:paraId="287F94A4" w14:textId="77777777" w:rsidR="00CD686A" w:rsidRDefault="00CD686A" w:rsidP="00CD686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Usuarios Creados e Intransferibles:</w:t>
      </w:r>
      <w:r>
        <w:rPr>
          <w:rFonts w:ascii="Calibri" w:eastAsia="Times New Roman" w:hAnsi="Calibri" w:cs="Calibri"/>
        </w:rPr>
        <w:t xml:space="preserve"> 5 perfiles con rol de </w:t>
      </w:r>
      <w:r>
        <w:rPr>
          <w:rStyle w:val="CdigoHTML"/>
        </w:rPr>
        <w:t>ADMINISTRADOR</w:t>
      </w:r>
      <w:r>
        <w:rPr>
          <w:rFonts w:ascii="Calibri" w:eastAsia="Times New Roman" w:hAnsi="Calibri" w:cs="Calibri"/>
        </w:rPr>
        <w:t xml:space="preserve"> (</w:t>
      </w:r>
      <w:r>
        <w:rPr>
          <w:rStyle w:val="CdigoHTML"/>
        </w:rPr>
        <w:t>david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abraham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valeria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dolores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eduardo</w:t>
      </w:r>
      <w:r>
        <w:rPr>
          <w:rFonts w:ascii="Calibri" w:eastAsia="Times New Roman" w:hAnsi="Calibri" w:cs="Calibri"/>
        </w:rPr>
        <w:t xml:space="preserve">) probados y asegurados con la contraseña maestra </w:t>
      </w:r>
      <w:r>
        <w:rPr>
          <w:rStyle w:val="CdigoHTML"/>
        </w:rPr>
        <w:t>musems2026</w:t>
      </w:r>
      <w:r>
        <w:rPr>
          <w:rFonts w:ascii="Calibri" w:eastAsia="Times New Roman" w:hAnsi="Calibri" w:cs="Calibri"/>
        </w:rPr>
        <w:t>. Estos usuarios están blindados bajo la lógica de retención obligatoria (Lockout Prevention) para asegurar continuidad administrativa.</w:t>
      </w:r>
    </w:p>
    <w:p w14:paraId="41761565" w14:textId="77777777" w:rsidR="00CD686A" w:rsidRDefault="00CD686A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7C4EF28">
          <v:rect id="_x0000_i1030" style="width:0;height:1.5pt" o:hralign="center" o:hrstd="t" o:hr="t" fillcolor="#a0a0a0" stroked="f"/>
        </w:pict>
      </w:r>
    </w:p>
    <w:p w14:paraId="6A1F97E9" w14:textId="77777777" w:rsidR="00CD686A" w:rsidRDefault="00CD686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Inventario Definitivo de Handover Tecnológico (Listado de Entrega)</w:t>
      </w:r>
    </w:p>
    <w:p w14:paraId="5913A5C7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Por este medio, hago entrega formal e irrevocable de la totalidad de la propiedad intelectual, código fuente, y auditorías técnicas desarrolladas en mi periodo de consultoría. Se ceden los siguientes repositorios y activos operacionales:</w:t>
      </w:r>
    </w:p>
    <w:p w14:paraId="61CB9EDB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Institucional </w:t>
      </w:r>
      <w:r>
        <w:rPr>
          <w:rStyle w:val="CdigoHTML"/>
          <w:b/>
          <w:bCs/>
        </w:rPr>
        <w:t>SEP_MUSEMS_PU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5B9A100C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Código fuente Frontend (React 19, Vite, TypeScript) y Backend (FastAPI, Python).</w:t>
      </w:r>
    </w:p>
    <w:p w14:paraId="40668A0E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de Base de Datos </w:t>
      </w:r>
      <w:r>
        <w:rPr>
          <w:rStyle w:val="CdigoHTML"/>
        </w:rPr>
        <w:t>00-Central_Data_Base/</w:t>
      </w:r>
      <w:r>
        <w:rPr>
          <w:rFonts w:ascii="Calibri" w:hAnsi="Calibri" w:cs="Calibri"/>
          <w:sz w:val="22"/>
          <w:szCs w:val="22"/>
        </w:rPr>
        <w:t xml:space="preserve"> con los DDL de tablas y las 9 Vistas Analíticas certificadas (incluyendo la vista central de privacidad </w:t>
      </w:r>
      <w:r>
        <w:rPr>
          <w:rStyle w:val="CdigoHTML"/>
        </w:rPr>
        <w:t>VW_BI_MUSEMS_HISTORICO_CURP</w:t>
      </w:r>
      <w:r>
        <w:rPr>
          <w:rFonts w:ascii="Calibri" w:hAnsi="Calibri" w:cs="Calibri"/>
          <w:sz w:val="22"/>
          <w:szCs w:val="22"/>
        </w:rPr>
        <w:t>).</w:t>
      </w:r>
    </w:p>
    <w:p w14:paraId="38CB11EE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Pipeline de Seguridad Automática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>.</w:t>
      </w:r>
    </w:p>
    <w:p w14:paraId="617B9EF1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 xml:space="preserve">Repositorio de Transición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hAnsi="Calibri" w:cs="Calibri"/>
          <w:sz w:val="22"/>
          <w:szCs w:val="22"/>
        </w:rPr>
        <w:t>:</w:t>
      </w:r>
    </w:p>
    <w:p w14:paraId="5E8D6854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consolidada, probada y congelada con *Zero Regressions*.</w:t>
      </w:r>
    </w:p>
    <w:p w14:paraId="71E8441E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Acervo forense documental (Análisis de Inventario, Bitácoras de Proyecto, y Reportes Técnicos </w:t>
      </w:r>
      <w:r>
        <w:rPr>
          <w:rStyle w:val="CdigoHTML"/>
        </w:rPr>
        <w:t>RCA</w:t>
      </w:r>
      <w:r>
        <w:rPr>
          <w:rFonts w:ascii="Calibri" w:hAnsi="Calibri" w:cs="Calibri"/>
          <w:sz w:val="22"/>
          <w:szCs w:val="22"/>
        </w:rPr>
        <w:t xml:space="preserve"> de resolución de brechas).</w:t>
      </w:r>
    </w:p>
    <w:p w14:paraId="768A186C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Carpeta Maestra de Entregables CMMI (Nivel 3):</w:t>
      </w:r>
    </w:p>
    <w:p w14:paraId="2AD7EC3C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El compendio completo de 14 documentos de ingeniería, que abarcan desde el Manual de Instalación (07), Reglas de Negocio (12), Casos de Uso (13), Arquitectura (11), y Pruebas Funcionales y de Estrés (04, 06).</w:t>
      </w:r>
    </w:p>
    <w:p w14:paraId="388E7D28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*Matriz de Rastreo y Trazabilidad Integral (Versión 4.1)*, certificando que el 100% de los Requerimientos Funcionales de la SEP están atados a un endpoint verificable, a una tabla persistente y a una prueba automatizada QA.</w:t>
      </w:r>
    </w:p>
    <w:p w14:paraId="4D644CAF" w14:textId="77777777" w:rsidR="00CD686A" w:rsidRDefault="00CD686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del presente documento legal y operativo, doy por concluida de manera satisfactoria mi participación técnica, confirmando que la infraestructura, gobernanza y el *Know-How* requeridos por la Secretaría se encuentran materializados y en resguardo total de la institución.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1960A" w14:textId="77777777" w:rsidR="00901A10" w:rsidRPr="003A5DB2" w:rsidRDefault="00901A10" w:rsidP="00997E2E">
      <w:r w:rsidRPr="003A5DB2">
        <w:separator/>
      </w:r>
    </w:p>
  </w:endnote>
  <w:endnote w:type="continuationSeparator" w:id="0">
    <w:p w14:paraId="72006DEC" w14:textId="77777777" w:rsidR="00901A10" w:rsidRPr="003A5DB2" w:rsidRDefault="00901A10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EA987" w14:textId="77777777" w:rsidR="00901A10" w:rsidRPr="003A5DB2" w:rsidRDefault="00901A10" w:rsidP="00997E2E">
      <w:r w:rsidRPr="003A5DB2">
        <w:separator/>
      </w:r>
    </w:p>
  </w:footnote>
  <w:footnote w:type="continuationSeparator" w:id="0">
    <w:p w14:paraId="345AF9AB" w14:textId="77777777" w:rsidR="00901A10" w:rsidRPr="003A5DB2" w:rsidRDefault="00901A10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A13E87"/>
    <w:multiLevelType w:val="multilevel"/>
    <w:tmpl w:val="210A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233965"/>
    <w:multiLevelType w:val="multilevel"/>
    <w:tmpl w:val="214E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ED54B0"/>
    <w:multiLevelType w:val="multilevel"/>
    <w:tmpl w:val="5A7A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A25A7E"/>
    <w:multiLevelType w:val="multilevel"/>
    <w:tmpl w:val="D3C0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2D0147"/>
    <w:multiLevelType w:val="multilevel"/>
    <w:tmpl w:val="BF16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3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4"/>
  </w:num>
  <w:num w:numId="12" w16cid:durableId="2021344936">
    <w:abstractNumId w:val="2"/>
  </w:num>
  <w:num w:numId="13" w16cid:durableId="1690137507">
    <w:abstractNumId w:val="16"/>
  </w:num>
  <w:num w:numId="14" w16cid:durableId="147749504">
    <w:abstractNumId w:val="8"/>
  </w:num>
  <w:num w:numId="15" w16cid:durableId="7291123">
    <w:abstractNumId w:val="12"/>
  </w:num>
  <w:num w:numId="16" w16cid:durableId="470825812">
    <w:abstractNumId w:val="15"/>
  </w:num>
  <w:num w:numId="17" w16cid:durableId="901215865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54D0B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1A10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D686A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CD686A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CD686A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1284</Words>
  <Characters>7067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2026-06-23T21:47:00Z</dcterms:modified>
  <cp:category/>
</cp:coreProperties>
</file>