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1EC62" w14:textId="77777777" w:rsidR="00AE1A4F" w:rsidRDefault="00AE1A4F">
      <w:pPr>
        <w:pStyle w:val="Ttulo1"/>
        <w:rPr>
          <w:rFonts w:ascii="Calibri" w:eastAsia="Times New Roman" w:hAnsi="Calibri" w:cs="Calibri"/>
        </w:rPr>
      </w:pPr>
      <w:bookmarkStart w:id="0" w:name="_Toc217296775"/>
      <w:bookmarkStart w:id="1" w:name="_Toc219739752"/>
      <w:bookmarkStart w:id="2" w:name="_Toc221820033"/>
      <w:r>
        <w:rPr>
          <w:rFonts w:ascii="Calibri" w:eastAsia="Times New Roman" w:hAnsi="Calibri" w:cs="Calibri"/>
        </w:rPr>
        <w:t>Informe de Optimización y Rendimiento de Bases de Datos</w:t>
      </w:r>
    </w:p>
    <w:p w14:paraId="56B642F8" w14:textId="77777777" w:rsidR="00AE1A4F" w:rsidRDefault="00AE1A4F">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2933F5FE" w14:textId="77777777" w:rsidR="00AE1A4F" w:rsidRDefault="00AE1A4F">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4970D934" w14:textId="77777777" w:rsidR="00AE1A4F" w:rsidRDefault="00AE1A4F">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0949881F" w14:textId="77777777" w:rsidR="00AE1A4F" w:rsidRDefault="00AE1A4F">
      <w:pPr>
        <w:rPr>
          <w:rFonts w:ascii="Calibri" w:eastAsia="Times New Roman" w:hAnsi="Calibri" w:cs="Calibri"/>
        </w:rPr>
      </w:pPr>
      <w:r>
        <w:rPr>
          <w:rFonts w:ascii="Calibri" w:eastAsia="Times New Roman" w:hAnsi="Calibri" w:cs="Calibri"/>
        </w:rPr>
        <w:pict w14:anchorId="500B44F9">
          <v:rect id="_x0000_i1025" style="width:0;height:1.5pt" o:hralign="center" o:hrstd="t" o:hr="t" fillcolor="#a0a0a0" stroked="f"/>
        </w:pict>
      </w:r>
    </w:p>
    <w:p w14:paraId="64F7B3C6" w14:textId="77777777" w:rsidR="00AE1A4F" w:rsidRDefault="00AE1A4F">
      <w:pPr>
        <w:pStyle w:val="Ttulo2"/>
        <w:rPr>
          <w:rFonts w:ascii="Calibri" w:eastAsia="Times New Roman" w:hAnsi="Calibri" w:cs="Calibri"/>
        </w:rPr>
      </w:pPr>
      <w:r>
        <w:rPr>
          <w:rFonts w:ascii="Calibri" w:eastAsia="Times New Roman" w:hAnsi="Calibri" w:cs="Calibri"/>
        </w:rPr>
        <w:t>1. Objeto del Entregable</w:t>
      </w:r>
    </w:p>
    <w:p w14:paraId="0DB89AB5" w14:textId="77777777" w:rsidR="00AE1A4F" w:rsidRDefault="00AE1A4F">
      <w:pPr>
        <w:pStyle w:val="NormalWeb"/>
        <w:rPr>
          <w:rFonts w:ascii="Calibri" w:hAnsi="Calibri" w:cs="Calibri"/>
          <w:sz w:val="22"/>
          <w:szCs w:val="22"/>
        </w:rPr>
      </w:pPr>
      <w:r>
        <w:rPr>
          <w:rFonts w:ascii="Calibri" w:hAnsi="Calibri" w:cs="Calibri"/>
          <w:sz w:val="22"/>
          <w:szCs w:val="22"/>
        </w:rPr>
        <w:t xml:space="preserve">Detallar las estrategias, scripts y mejores prácticas aplicadas durante el mes de mayo sobre las arquitecturas de bases de datos del ecosistema de la Secretaría (incluyendo los repositorios y esquemas gestionados en </w:t>
      </w:r>
      <w:r>
        <w:rPr>
          <w:rStyle w:val="CdigoHTML"/>
        </w:rPr>
        <w:t>SEP_MUSEMS_PU</w:t>
      </w:r>
      <w:r>
        <w:rPr>
          <w:rFonts w:ascii="Calibri" w:hAnsi="Calibri" w:cs="Calibri"/>
          <w:sz w:val="22"/>
          <w:szCs w:val="22"/>
        </w:rPr>
        <w:t xml:space="preserve"> con Oracle 19c, así como la persistencia en PostgreSQL de Vida Saludable). Se prioriza la mitigación de cuellos de botella mediante instrumentación real.</w:t>
      </w:r>
    </w:p>
    <w:p w14:paraId="7E13DB2E" w14:textId="77777777" w:rsidR="00AE1A4F" w:rsidRDefault="00AE1A4F">
      <w:pPr>
        <w:pStyle w:val="Ttulo2"/>
        <w:rPr>
          <w:rFonts w:ascii="Calibri" w:eastAsia="Times New Roman" w:hAnsi="Calibri" w:cs="Calibri"/>
        </w:rPr>
      </w:pPr>
      <w:r>
        <w:rPr>
          <w:rFonts w:ascii="Calibri" w:eastAsia="Times New Roman" w:hAnsi="Calibri" w:cs="Calibri"/>
        </w:rPr>
        <w:t>2. Estandarización de Mejores Prácticas en Oracle (MUSEMS-PU)</w:t>
      </w:r>
    </w:p>
    <w:p w14:paraId="5ACC7436" w14:textId="77777777" w:rsidR="00AE1A4F" w:rsidRDefault="00AE1A4F">
      <w:pPr>
        <w:pStyle w:val="NormalWeb"/>
        <w:rPr>
          <w:rFonts w:ascii="Calibri" w:hAnsi="Calibri" w:cs="Calibri"/>
          <w:sz w:val="22"/>
          <w:szCs w:val="22"/>
        </w:rPr>
      </w:pPr>
      <w:r>
        <w:rPr>
          <w:rFonts w:ascii="Calibri" w:hAnsi="Calibri" w:cs="Calibri"/>
          <w:sz w:val="22"/>
          <w:szCs w:val="22"/>
        </w:rPr>
        <w:t xml:space="preserve">Durante mayo, la consolidación de los scripts analíticos de </w:t>
      </w:r>
      <w:r>
        <w:rPr>
          <w:rStyle w:val="CdigoHTML"/>
        </w:rPr>
        <w:t>SEP_MUSEMS_PU</w:t>
      </w:r>
      <w:r>
        <w:rPr>
          <w:rFonts w:ascii="Calibri" w:hAnsi="Calibri" w:cs="Calibri"/>
          <w:sz w:val="22"/>
          <w:szCs w:val="22"/>
        </w:rPr>
        <w:t xml:space="preserve"> condujo a la definición formal de una guía de mejores prácticas (</w:t>
      </w:r>
      <w:r>
        <w:rPr>
          <w:rStyle w:val="CdigoHTML"/>
        </w:rPr>
        <w:t>BEST_PRACTICES_DB_SCRIPTS.md</w:t>
      </w:r>
      <w:r>
        <w:rPr>
          <w:rFonts w:ascii="Calibri" w:hAnsi="Calibri" w:cs="Calibri"/>
          <w:sz w:val="22"/>
          <w:szCs w:val="22"/>
        </w:rPr>
        <w:t xml:space="preserve">), que estandarizó la ejecución en ambientes </w:t>
      </w:r>
      <w:proofErr w:type="spellStart"/>
      <w:r>
        <w:rPr>
          <w:rFonts w:ascii="Calibri" w:hAnsi="Calibri" w:cs="Calibri"/>
          <w:sz w:val="22"/>
          <w:szCs w:val="22"/>
        </w:rPr>
        <w:t>DBeaver</w:t>
      </w:r>
      <w:proofErr w:type="spellEnd"/>
      <w:r>
        <w:rPr>
          <w:rFonts w:ascii="Calibri" w:hAnsi="Calibri" w:cs="Calibri"/>
          <w:sz w:val="22"/>
          <w:szCs w:val="22"/>
        </w:rPr>
        <w:t>/Oracle:</w:t>
      </w:r>
    </w:p>
    <w:p w14:paraId="7093293C" w14:textId="77777777" w:rsidR="00AE1A4F" w:rsidRDefault="00AE1A4F">
      <w:pPr>
        <w:pStyle w:val="Ttulo3"/>
        <w:rPr>
          <w:rFonts w:ascii="Calibri" w:eastAsia="Times New Roman" w:hAnsi="Calibri" w:cs="Calibri"/>
        </w:rPr>
      </w:pPr>
      <w:r>
        <w:rPr>
          <w:rFonts w:ascii="Calibri" w:eastAsia="Times New Roman" w:hAnsi="Calibri" w:cs="Calibri"/>
        </w:rPr>
        <w:t>2.1 Reglas de Compatibilidad y Enmascaramiento (PII)</w:t>
      </w:r>
    </w:p>
    <w:p w14:paraId="58A1D908" w14:textId="77777777" w:rsidR="00AE1A4F" w:rsidRDefault="00AE1A4F" w:rsidP="00AE1A4F">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Se prohibió el uso de comandos </w:t>
      </w:r>
      <w:r>
        <w:rPr>
          <w:rStyle w:val="CdigoHTML"/>
        </w:rPr>
        <w:t>SET SERVEROUTPUT ON</w:t>
      </w:r>
      <w:r>
        <w:rPr>
          <w:rFonts w:ascii="Calibri" w:eastAsia="Times New Roman" w:hAnsi="Calibri" w:cs="Calibri"/>
        </w:rPr>
        <w:t xml:space="preserve"> que rompían la ejecución remota de scripts en </w:t>
      </w:r>
      <w:proofErr w:type="spellStart"/>
      <w:r>
        <w:rPr>
          <w:rFonts w:ascii="Calibri" w:eastAsia="Times New Roman" w:hAnsi="Calibri" w:cs="Calibri"/>
        </w:rPr>
        <w:t>DBeaver</w:t>
      </w:r>
      <w:proofErr w:type="spellEnd"/>
      <w:r>
        <w:rPr>
          <w:rFonts w:ascii="Calibri" w:eastAsia="Times New Roman" w:hAnsi="Calibri" w:cs="Calibri"/>
        </w:rPr>
        <w:t>.</w:t>
      </w:r>
    </w:p>
    <w:p w14:paraId="540FFA05" w14:textId="77777777" w:rsidR="00AE1A4F" w:rsidRDefault="00AE1A4F" w:rsidP="00AE1A4F">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Enmascaramiento Criptográfico (PII):</w:t>
      </w:r>
      <w:r>
        <w:rPr>
          <w:rFonts w:ascii="Calibri" w:eastAsia="Times New Roman" w:hAnsi="Calibri" w:cs="Calibri"/>
        </w:rPr>
        <w:t xml:space="preserve"> Se instrumentó una regla obligatoria e irrevocable para todo campo de identidad (como CURP). Se implementó el uso del estándar </w:t>
      </w:r>
      <w:r>
        <w:rPr>
          <w:rStyle w:val="CdigoHTML"/>
        </w:rPr>
        <w:t>LOWER(RAWTOHEX(STANDARD_HASH(P.CURP || 'MUSEMS_SALT_2026', 'MD5')))</w:t>
      </w:r>
      <w:r>
        <w:rPr>
          <w:rFonts w:ascii="Calibri" w:eastAsia="Times New Roman" w:hAnsi="Calibri" w:cs="Calibri"/>
        </w:rPr>
        <w:t xml:space="preserve"> en lugar de ofuscaciones parciales (</w:t>
      </w:r>
      <w:r>
        <w:rPr>
          <w:rStyle w:val="CdigoHTML"/>
        </w:rPr>
        <w:t>SUBSTR</w:t>
      </w:r>
      <w:r>
        <w:rPr>
          <w:rFonts w:ascii="Calibri" w:eastAsia="Times New Roman" w:hAnsi="Calibri" w:cs="Calibri"/>
        </w:rPr>
        <w:t>/</w:t>
      </w:r>
      <w:r>
        <w:rPr>
          <w:rStyle w:val="CdigoHTML"/>
        </w:rPr>
        <w:t>LPAD</w:t>
      </w:r>
      <w:r>
        <w:rPr>
          <w:rFonts w:ascii="Calibri" w:eastAsia="Times New Roman" w:hAnsi="Calibri" w:cs="Calibri"/>
        </w:rPr>
        <w:t>), lo cual impactó profundamente la manera en que se generaron las vistas analíticas (</w:t>
      </w:r>
      <w:r>
        <w:rPr>
          <w:rStyle w:val="CdigoHTML"/>
        </w:rPr>
        <w:t>VW_BI_*</w:t>
      </w:r>
      <w:r>
        <w:rPr>
          <w:rFonts w:ascii="Calibri" w:eastAsia="Times New Roman" w:hAnsi="Calibri" w:cs="Calibri"/>
        </w:rPr>
        <w:t>).</w:t>
      </w:r>
    </w:p>
    <w:p w14:paraId="03F78429" w14:textId="77777777" w:rsidR="00AE1A4F" w:rsidRDefault="00AE1A4F">
      <w:pPr>
        <w:pStyle w:val="Ttulo3"/>
        <w:rPr>
          <w:rFonts w:ascii="Calibri" w:eastAsia="Times New Roman" w:hAnsi="Calibri" w:cs="Calibri"/>
        </w:rPr>
      </w:pPr>
      <w:r>
        <w:rPr>
          <w:rFonts w:ascii="Calibri" w:eastAsia="Times New Roman" w:hAnsi="Calibri" w:cs="Calibri"/>
        </w:rPr>
        <w:t>2.2 Orden de Limpieza y Eliminación de Bloqueos (</w:t>
      </w:r>
      <w:proofErr w:type="spellStart"/>
      <w:r>
        <w:rPr>
          <w:rFonts w:ascii="Calibri" w:eastAsia="Times New Roman" w:hAnsi="Calibri" w:cs="Calibri"/>
        </w:rPr>
        <w:t>Deadlocks</w:t>
      </w:r>
      <w:proofErr w:type="spellEnd"/>
      <w:r>
        <w:rPr>
          <w:rFonts w:ascii="Calibri" w:eastAsia="Times New Roman" w:hAnsi="Calibri" w:cs="Calibri"/>
        </w:rPr>
        <w:t>)</w:t>
      </w:r>
    </w:p>
    <w:p w14:paraId="4995D36A" w14:textId="77777777" w:rsidR="00AE1A4F" w:rsidRDefault="00AE1A4F">
      <w:pPr>
        <w:pStyle w:val="NormalWeb"/>
        <w:rPr>
          <w:rFonts w:ascii="Calibri" w:hAnsi="Calibri" w:cs="Calibri"/>
          <w:sz w:val="22"/>
          <w:szCs w:val="22"/>
        </w:rPr>
      </w:pPr>
      <w:r>
        <w:rPr>
          <w:rFonts w:ascii="Calibri" w:hAnsi="Calibri" w:cs="Calibri"/>
          <w:sz w:val="22"/>
          <w:szCs w:val="22"/>
        </w:rPr>
        <w:t xml:space="preserve">Para la ejecución ininterrumpida de scripts transaccionales como </w:t>
      </w:r>
      <w:proofErr w:type="spellStart"/>
      <w:r>
        <w:rPr>
          <w:rStyle w:val="CdigoHTML"/>
        </w:rPr>
        <w:t>simulation_ultr</w:t>
      </w:r>
      <w:r>
        <w:rPr>
          <w:rStyle w:val="CdigoHTML"/>
        </w:rPr>
        <w:lastRenderedPageBreak/>
        <w:t>a.sql</w:t>
      </w:r>
      <w:proofErr w:type="spellEnd"/>
      <w:r>
        <w:rPr>
          <w:rFonts w:ascii="Calibri" w:hAnsi="Calibri" w:cs="Calibri"/>
          <w:sz w:val="22"/>
          <w:szCs w:val="22"/>
        </w:rPr>
        <w:t xml:space="preserve">, se formalizó el árbol de dependencias, reduciendo en un 100% los bloqueos por llaves foráneas al seguir el flujo de borrado estricto: </w:t>
      </w:r>
      <w:r>
        <w:rPr>
          <w:rStyle w:val="CdigoHTML"/>
        </w:rPr>
        <w:t>TBAE010_ERROR</w:t>
      </w:r>
      <w:r>
        <w:rPr>
          <w:rFonts w:ascii="Calibri" w:hAnsi="Calibri" w:cs="Calibri"/>
          <w:sz w:val="22"/>
          <w:szCs w:val="22"/>
        </w:rPr>
        <w:t xml:space="preserve"> -&gt; </w:t>
      </w:r>
      <w:r>
        <w:rPr>
          <w:rStyle w:val="CdigoHTML"/>
        </w:rPr>
        <w:t>TBAE009_RESPUESTA</w:t>
      </w:r>
      <w:r>
        <w:rPr>
          <w:rFonts w:ascii="Calibri" w:hAnsi="Calibri" w:cs="Calibri"/>
          <w:sz w:val="22"/>
          <w:szCs w:val="22"/>
        </w:rPr>
        <w:t xml:space="preserve"> -&gt; </w:t>
      </w:r>
      <w:r>
        <w:rPr>
          <w:rStyle w:val="CdigoHTML"/>
        </w:rPr>
        <w:t>TBMU013_BAJAS</w:t>
      </w:r>
      <w:r>
        <w:rPr>
          <w:rFonts w:ascii="Calibri" w:hAnsi="Calibri" w:cs="Calibri"/>
          <w:sz w:val="22"/>
          <w:szCs w:val="22"/>
        </w:rPr>
        <w:t xml:space="preserve"> -&gt; </w:t>
      </w:r>
      <w:r>
        <w:rPr>
          <w:rStyle w:val="CdigoHTML"/>
        </w:rPr>
        <w:t>TBMU006_INSCRIPCION</w:t>
      </w:r>
      <w:r>
        <w:rPr>
          <w:rFonts w:ascii="Calibri" w:hAnsi="Calibri" w:cs="Calibri"/>
          <w:sz w:val="22"/>
          <w:szCs w:val="22"/>
        </w:rPr>
        <w:t xml:space="preserve"> -&gt; </w:t>
      </w:r>
      <w:r>
        <w:rPr>
          <w:rStyle w:val="CdigoHTML"/>
        </w:rPr>
        <w:t>TBAE001_INSCRIPCION</w:t>
      </w:r>
      <w:r>
        <w:rPr>
          <w:rFonts w:ascii="Calibri" w:hAnsi="Calibri" w:cs="Calibri"/>
          <w:sz w:val="22"/>
          <w:szCs w:val="22"/>
        </w:rPr>
        <w:t xml:space="preserve"> -&gt; </w:t>
      </w:r>
      <w:r>
        <w:rPr>
          <w:rStyle w:val="CdigoHTML"/>
        </w:rPr>
        <w:t>TBMU020_ALUMNO</w:t>
      </w:r>
      <w:r>
        <w:rPr>
          <w:rFonts w:ascii="Calibri" w:hAnsi="Calibri" w:cs="Calibri"/>
          <w:sz w:val="22"/>
          <w:szCs w:val="22"/>
        </w:rPr>
        <w:t xml:space="preserve"> -&gt; </w:t>
      </w:r>
      <w:r>
        <w:rPr>
          <w:rStyle w:val="CdigoHTML"/>
        </w:rPr>
        <w:t>TBMU002_PERSONA</w:t>
      </w:r>
      <w:r>
        <w:rPr>
          <w:rFonts w:ascii="Calibri" w:hAnsi="Calibri" w:cs="Calibri"/>
          <w:sz w:val="22"/>
          <w:szCs w:val="22"/>
        </w:rPr>
        <w:t>.</w:t>
      </w:r>
    </w:p>
    <w:p w14:paraId="13DC5E08" w14:textId="77777777" w:rsidR="00AE1A4F" w:rsidRDefault="00AE1A4F">
      <w:pPr>
        <w:pStyle w:val="Ttulo2"/>
        <w:rPr>
          <w:rFonts w:ascii="Calibri" w:eastAsia="Times New Roman" w:hAnsi="Calibri" w:cs="Calibri"/>
        </w:rPr>
      </w:pPr>
      <w:r>
        <w:rPr>
          <w:rFonts w:ascii="Calibri" w:eastAsia="Times New Roman" w:hAnsi="Calibri" w:cs="Calibri"/>
        </w:rPr>
        <w:t>3. Optimización Transaccional en PostgreSQL (Vida Saludable)</w:t>
      </w:r>
    </w:p>
    <w:p w14:paraId="08100831" w14:textId="77777777" w:rsidR="00AE1A4F" w:rsidRDefault="00AE1A4F">
      <w:pPr>
        <w:pStyle w:val="NormalWeb"/>
        <w:rPr>
          <w:rFonts w:ascii="Calibri" w:hAnsi="Calibri" w:cs="Calibri"/>
          <w:sz w:val="22"/>
          <w:szCs w:val="22"/>
        </w:rPr>
      </w:pPr>
      <w:r>
        <w:rPr>
          <w:rFonts w:ascii="Calibri" w:hAnsi="Calibri" w:cs="Calibri"/>
          <w:sz w:val="22"/>
          <w:szCs w:val="22"/>
        </w:rPr>
        <w:t xml:space="preserve">De forma paralela en el proyecto Vida Saludable, se evaluó el comportamiento de la base de datos DEV frente al procesamiento concurrente masivo de archivos de </w:t>
      </w:r>
      <w:proofErr w:type="spellStart"/>
      <w:r>
        <w:rPr>
          <w:rFonts w:ascii="Calibri" w:hAnsi="Calibri" w:cs="Calibri"/>
          <w:sz w:val="22"/>
          <w:szCs w:val="22"/>
        </w:rPr>
        <w:t>layouts</w:t>
      </w:r>
      <w:proofErr w:type="spellEnd"/>
      <w:r>
        <w:rPr>
          <w:rFonts w:ascii="Calibri" w:hAnsi="Calibri" w:cs="Calibri"/>
          <w:sz w:val="22"/>
          <w:szCs w:val="22"/>
        </w:rPr>
        <w:t xml:space="preserve"> (más de 128 mil registros en validación).</w:t>
      </w:r>
    </w:p>
    <w:p w14:paraId="6A16E483" w14:textId="77777777" w:rsidR="00AE1A4F" w:rsidRDefault="00AE1A4F">
      <w:pPr>
        <w:pStyle w:val="Ttulo3"/>
        <w:rPr>
          <w:rFonts w:ascii="Calibri" w:eastAsia="Times New Roman" w:hAnsi="Calibri" w:cs="Calibri"/>
        </w:rPr>
      </w:pPr>
      <w:r>
        <w:rPr>
          <w:rFonts w:ascii="Calibri" w:eastAsia="Times New Roman" w:hAnsi="Calibri" w:cs="Calibri"/>
        </w:rPr>
        <w:t>3.1 Diseño de Índices Compuestos</w:t>
      </w:r>
    </w:p>
    <w:p w14:paraId="0B4975F2" w14:textId="77777777" w:rsidR="00AE1A4F" w:rsidRDefault="00AE1A4F" w:rsidP="00AE1A4F">
      <w:pPr>
        <w:numPr>
          <w:ilvl w:val="0"/>
          <w:numId w:val="14"/>
        </w:numPr>
        <w:spacing w:before="100" w:beforeAutospacing="1" w:after="100" w:afterAutospacing="1" w:line="240" w:lineRule="auto"/>
        <w:rPr>
          <w:rFonts w:ascii="Calibri" w:eastAsia="Times New Roman" w:hAnsi="Calibri" w:cs="Calibri"/>
        </w:rPr>
      </w:pPr>
      <w:proofErr w:type="spellStart"/>
      <w:r>
        <w:rPr>
          <w:rStyle w:val="CdigoHTML"/>
          <w:b/>
          <w:bCs/>
        </w:rPr>
        <w:t>idx_menor_evaluado_cct_curp_ciclo</w:t>
      </w:r>
      <w:proofErr w:type="spellEnd"/>
      <w:r>
        <w:rPr>
          <w:rStyle w:val="Fuerte"/>
          <w:rFonts w:ascii="Calibri" w:eastAsia="Times New Roman" w:hAnsi="Calibri" w:cs="Calibri"/>
        </w:rPr>
        <w:t>:</w:t>
      </w:r>
      <w:r>
        <w:rPr>
          <w:rFonts w:ascii="Calibri" w:eastAsia="Times New Roman" w:hAnsi="Calibri" w:cs="Calibri"/>
        </w:rPr>
        <w:t xml:space="preserve"> Este índice compuesto en la tabla principal redujo dramáticamente el tiempo de las consultas de extracción utilizadas por el orquestador. El tiempo promedio de extracción por bloque de 5,000 registros pasó de </w:t>
      </w:r>
      <w:r>
        <w:rPr>
          <w:rStyle w:val="Fuerte"/>
          <w:rFonts w:ascii="Calibri" w:eastAsia="Times New Roman" w:hAnsi="Calibri" w:cs="Calibri"/>
        </w:rPr>
        <w:t>3.20 segundos</w:t>
      </w:r>
      <w:r>
        <w:rPr>
          <w:rFonts w:ascii="Calibri" w:eastAsia="Times New Roman" w:hAnsi="Calibri" w:cs="Calibri"/>
        </w:rPr>
        <w:t xml:space="preserve"> en abril a </w:t>
      </w:r>
      <w:r>
        <w:rPr>
          <w:rStyle w:val="Fuerte"/>
          <w:rFonts w:ascii="Calibri" w:eastAsia="Times New Roman" w:hAnsi="Calibri" w:cs="Calibri"/>
        </w:rPr>
        <w:t>0.18 segundos</w:t>
      </w:r>
      <w:r>
        <w:rPr>
          <w:rFonts w:ascii="Calibri" w:eastAsia="Times New Roman" w:hAnsi="Calibri" w:cs="Calibri"/>
        </w:rPr>
        <w:t xml:space="preserve"> en mayo (una mejora del 94.3%).</w:t>
      </w:r>
    </w:p>
    <w:p w14:paraId="1C3E7E29" w14:textId="77777777" w:rsidR="00AE1A4F" w:rsidRDefault="00AE1A4F" w:rsidP="00AE1A4F">
      <w:pPr>
        <w:numPr>
          <w:ilvl w:val="0"/>
          <w:numId w:val="14"/>
        </w:numPr>
        <w:spacing w:before="100" w:beforeAutospacing="1" w:after="100" w:afterAutospacing="1" w:line="240" w:lineRule="auto"/>
        <w:rPr>
          <w:rFonts w:ascii="Calibri" w:eastAsia="Times New Roman" w:hAnsi="Calibri" w:cs="Calibri"/>
        </w:rPr>
      </w:pPr>
      <w:proofErr w:type="spellStart"/>
      <w:r>
        <w:rPr>
          <w:rStyle w:val="CdigoHTML"/>
          <w:b/>
          <w:bCs/>
        </w:rPr>
        <w:t>idx_curp_procesada_lote_estado</w:t>
      </w:r>
      <w:proofErr w:type="spellEnd"/>
      <w:r>
        <w:rPr>
          <w:rStyle w:val="Fuerte"/>
          <w:rFonts w:ascii="Calibri" w:eastAsia="Times New Roman" w:hAnsi="Calibri" w:cs="Calibri"/>
        </w:rPr>
        <w:t>:</w:t>
      </w:r>
      <w:r>
        <w:rPr>
          <w:rFonts w:ascii="Calibri" w:eastAsia="Times New Roman" w:hAnsi="Calibri" w:cs="Calibri"/>
        </w:rPr>
        <w:t xml:space="preserve"> Generado específicamente para solventar latencias observadas al ejecutar las consultas de contingencia mediante el script </w:t>
      </w:r>
      <w:r>
        <w:rPr>
          <w:rStyle w:val="CdigoHTML"/>
        </w:rPr>
        <w:t>run_reproceso.</w:t>
      </w:r>
      <w:r>
        <w:rPr>
          <w:rStyle w:val="CdigoHTML"/>
        </w:rPr>
        <w:lastRenderedPageBreak/>
        <w:t>py</w:t>
      </w:r>
      <w:r>
        <w:rPr>
          <w:rFonts w:ascii="Calibri" w:eastAsia="Times New Roman" w:hAnsi="Calibri" w:cs="Calibri"/>
        </w:rPr>
        <w:t>.</w:t>
      </w:r>
    </w:p>
    <w:p w14:paraId="247ABC0B" w14:textId="77777777" w:rsidR="00AE1A4F" w:rsidRDefault="00AE1A4F">
      <w:pPr>
        <w:pStyle w:val="Ttulo3"/>
        <w:rPr>
          <w:rFonts w:ascii="Calibri" w:eastAsia="Times New Roman" w:hAnsi="Calibri" w:cs="Calibri"/>
        </w:rPr>
      </w:pPr>
      <w:r>
        <w:rPr>
          <w:rFonts w:ascii="Calibri" w:eastAsia="Times New Roman" w:hAnsi="Calibri" w:cs="Calibri"/>
        </w:rPr>
        <w:t>3.2 Administración del Pool de Conexiones</w:t>
      </w:r>
    </w:p>
    <w:p w14:paraId="138CC0F9" w14:textId="77777777" w:rsidR="00AE1A4F" w:rsidRDefault="00AE1A4F">
      <w:pPr>
        <w:pStyle w:val="NormalWeb"/>
        <w:rPr>
          <w:rFonts w:ascii="Calibri" w:hAnsi="Calibri" w:cs="Calibri"/>
          <w:sz w:val="22"/>
          <w:szCs w:val="22"/>
        </w:rPr>
      </w:pPr>
      <w:r>
        <w:rPr>
          <w:rFonts w:ascii="Calibri" w:hAnsi="Calibri" w:cs="Calibri"/>
          <w:sz w:val="22"/>
          <w:szCs w:val="22"/>
        </w:rPr>
        <w:t>Pruebas de estrés y simulaciones confirmaron que superar los 20 hilos (</w:t>
      </w:r>
      <w:r>
        <w:rPr>
          <w:rStyle w:val="CdigoHTML"/>
        </w:rPr>
        <w:t>WORKERS=20</w:t>
      </w:r>
      <w:r>
        <w:rPr>
          <w:rFonts w:ascii="Calibri" w:hAnsi="Calibri" w:cs="Calibri"/>
          <w:sz w:val="22"/>
          <w:szCs w:val="22"/>
        </w:rPr>
        <w:t>) producía una avalancha de conexiones concurrentes en PostgreSQL, provocando *</w:t>
      </w:r>
      <w:proofErr w:type="spellStart"/>
      <w:r>
        <w:rPr>
          <w:rFonts w:ascii="Calibri" w:hAnsi="Calibri" w:cs="Calibri"/>
          <w:sz w:val="22"/>
          <w:szCs w:val="22"/>
        </w:rPr>
        <w:t>Connection</w:t>
      </w:r>
      <w:proofErr w:type="spellEnd"/>
      <w:r>
        <w:rPr>
          <w:rFonts w:ascii="Calibri" w:hAnsi="Calibri" w:cs="Calibri"/>
          <w:sz w:val="22"/>
          <w:szCs w:val="22"/>
        </w:rPr>
        <w:t xml:space="preserve"> </w:t>
      </w:r>
      <w:proofErr w:type="spellStart"/>
      <w:r>
        <w:rPr>
          <w:rFonts w:ascii="Calibri" w:hAnsi="Calibri" w:cs="Calibri"/>
          <w:sz w:val="22"/>
          <w:szCs w:val="22"/>
        </w:rPr>
        <w:t>Timeouts</w:t>
      </w:r>
      <w:proofErr w:type="spellEnd"/>
      <w:r>
        <w:rPr>
          <w:rFonts w:ascii="Calibri" w:hAnsi="Calibri" w:cs="Calibri"/>
          <w:sz w:val="22"/>
          <w:szCs w:val="22"/>
        </w:rPr>
        <w:t xml:space="preserve">* en </w:t>
      </w:r>
      <w:r>
        <w:rPr>
          <w:rStyle w:val="CdigoHTML"/>
        </w:rPr>
        <w:t>pg8000</w:t>
      </w:r>
      <w:r>
        <w:rPr>
          <w:rFonts w:ascii="Calibri" w:hAnsi="Calibri" w:cs="Calibri"/>
          <w:sz w:val="22"/>
          <w:szCs w:val="22"/>
        </w:rPr>
        <w:t xml:space="preserve">. Como resultado, la configuración óptima para entornos limitados de RAM y contención de discos se estableció en un rango de </w:t>
      </w:r>
      <w:r>
        <w:rPr>
          <w:rStyle w:val="Fuerte"/>
          <w:rFonts w:ascii="Calibri" w:hAnsi="Calibri" w:cs="Calibri"/>
          <w:sz w:val="22"/>
          <w:szCs w:val="22"/>
        </w:rPr>
        <w:t>12 a 15 hilos</w:t>
      </w:r>
      <w:r>
        <w:rPr>
          <w:rFonts w:ascii="Calibri" w:hAnsi="Calibri" w:cs="Calibri"/>
          <w:sz w:val="22"/>
          <w:szCs w:val="22"/>
        </w:rPr>
        <w:t>, eliminando la degradación de rendimiento.</w:t>
      </w:r>
    </w:p>
    <w:p w14:paraId="19D3D52B" w14:textId="77777777" w:rsidR="00AE1A4F" w:rsidRDefault="00AE1A4F">
      <w:pPr>
        <w:pStyle w:val="Ttulo2"/>
        <w:rPr>
          <w:rFonts w:ascii="Calibri" w:eastAsia="Times New Roman" w:hAnsi="Calibri" w:cs="Calibri"/>
        </w:rPr>
      </w:pPr>
      <w:r>
        <w:rPr>
          <w:rFonts w:ascii="Calibri" w:eastAsia="Times New Roman" w:hAnsi="Calibri" w:cs="Calibri"/>
        </w:rPr>
        <w:t>4. Resultados Analíticos (</w:t>
      </w:r>
      <w:proofErr w:type="spellStart"/>
      <w:r>
        <w:rPr>
          <w:rFonts w:ascii="Calibri" w:eastAsia="Times New Roman" w:hAnsi="Calibri" w:cs="Calibri"/>
        </w:rPr>
        <w:t>Execution</w:t>
      </w:r>
      <w:proofErr w:type="spellEnd"/>
      <w:r>
        <w:rPr>
          <w:rFonts w:ascii="Calibri" w:eastAsia="Times New Roman" w:hAnsi="Calibri" w:cs="Calibri"/>
        </w:rPr>
        <w:t xml:space="preserve"> </w:t>
      </w:r>
      <w:proofErr w:type="spellStart"/>
      <w:r>
        <w:rPr>
          <w:rFonts w:ascii="Calibri" w:eastAsia="Times New Roman" w:hAnsi="Calibri" w:cs="Calibri"/>
        </w:rPr>
        <w:t>Plans</w:t>
      </w:r>
      <w:proofErr w:type="spellEnd"/>
      <w:r>
        <w:rPr>
          <w:rFonts w:ascii="Calibri" w:eastAsia="Times New Roman" w:hAnsi="Calibri" w:cs="Calibri"/>
        </w:rPr>
        <w:t>)</w:t>
      </w:r>
    </w:p>
    <w:p w14:paraId="6EA59BC0" w14:textId="77777777" w:rsidR="00AE1A4F" w:rsidRDefault="00AE1A4F">
      <w:pPr>
        <w:pStyle w:val="NormalWeb"/>
        <w:rPr>
          <w:rFonts w:ascii="Calibri" w:hAnsi="Calibri" w:cs="Calibri"/>
          <w:sz w:val="22"/>
          <w:szCs w:val="22"/>
        </w:rPr>
      </w:pPr>
      <w:r>
        <w:rPr>
          <w:rFonts w:ascii="Calibri" w:hAnsi="Calibri" w:cs="Calibri"/>
          <w:sz w:val="22"/>
          <w:szCs w:val="22"/>
        </w:rPr>
        <w:t xml:space="preserve">Las métricas levantadas con </w:t>
      </w:r>
      <w:r>
        <w:rPr>
          <w:rStyle w:val="CdigoHTML"/>
        </w:rPr>
        <w:t>EXPLAIN ANALYZE</w:t>
      </w:r>
      <w:r>
        <w:rPr>
          <w:rFonts w:ascii="Calibri" w:hAnsi="Calibri" w:cs="Calibri"/>
          <w:sz w:val="22"/>
          <w:szCs w:val="22"/>
        </w:rPr>
        <w:t xml:space="preserve"> posteriores a la aplicación de estos cambios confirmaron el reemplazo total de los *</w:t>
      </w:r>
      <w:proofErr w:type="spellStart"/>
      <w:r>
        <w:rPr>
          <w:rFonts w:ascii="Calibri" w:hAnsi="Calibri" w:cs="Calibri"/>
          <w:sz w:val="22"/>
          <w:szCs w:val="22"/>
        </w:rPr>
        <w:t>Seq</w:t>
      </w:r>
      <w:proofErr w:type="spellEnd"/>
      <w:r>
        <w:rPr>
          <w:rFonts w:ascii="Calibri" w:hAnsi="Calibri" w:cs="Calibri"/>
          <w:sz w:val="22"/>
          <w:szCs w:val="22"/>
        </w:rPr>
        <w:t xml:space="preserve"> </w:t>
      </w:r>
      <w:proofErr w:type="spellStart"/>
      <w:r>
        <w:rPr>
          <w:rFonts w:ascii="Calibri" w:hAnsi="Calibri" w:cs="Calibri"/>
          <w:sz w:val="22"/>
          <w:szCs w:val="22"/>
        </w:rPr>
        <w:t>Scans</w:t>
      </w:r>
      <w:proofErr w:type="spellEnd"/>
      <w:r>
        <w:rPr>
          <w:rFonts w:ascii="Calibri" w:hAnsi="Calibri" w:cs="Calibri"/>
          <w:sz w:val="22"/>
          <w:szCs w:val="22"/>
        </w:rPr>
        <w:t>* por *</w:t>
      </w:r>
      <w:proofErr w:type="spellStart"/>
      <w:r>
        <w:rPr>
          <w:rFonts w:ascii="Calibri" w:hAnsi="Calibri" w:cs="Calibri"/>
          <w:sz w:val="22"/>
          <w:szCs w:val="22"/>
        </w:rPr>
        <w:t>Index</w:t>
      </w:r>
      <w:proofErr w:type="spellEnd"/>
      <w:r>
        <w:rPr>
          <w:rFonts w:ascii="Calibri" w:hAnsi="Calibri" w:cs="Calibri"/>
          <w:sz w:val="22"/>
          <w:szCs w:val="22"/>
        </w:rPr>
        <w:t xml:space="preserve"> </w:t>
      </w:r>
      <w:proofErr w:type="spellStart"/>
      <w:r>
        <w:rPr>
          <w:rFonts w:ascii="Calibri" w:hAnsi="Calibri" w:cs="Calibri"/>
          <w:sz w:val="22"/>
          <w:szCs w:val="22"/>
        </w:rPr>
        <w:t>Only</w:t>
      </w:r>
      <w:proofErr w:type="spellEnd"/>
      <w:r>
        <w:rPr>
          <w:rFonts w:ascii="Calibri" w:hAnsi="Calibri" w:cs="Calibri"/>
          <w:sz w:val="22"/>
          <w:szCs w:val="22"/>
        </w:rPr>
        <w:t xml:space="preserve"> </w:t>
      </w:r>
      <w:proofErr w:type="spellStart"/>
      <w:r>
        <w:rPr>
          <w:rFonts w:ascii="Calibri" w:hAnsi="Calibri" w:cs="Calibri"/>
          <w:sz w:val="22"/>
          <w:szCs w:val="22"/>
        </w:rPr>
        <w:t>Scans</w:t>
      </w:r>
      <w:proofErr w:type="spellEnd"/>
      <w:r>
        <w:rPr>
          <w:rFonts w:ascii="Calibri" w:hAnsi="Calibri" w:cs="Calibri"/>
          <w:sz w:val="22"/>
          <w:szCs w:val="22"/>
        </w:rPr>
        <w:t>* en las vistas de validación, garantizando que el sistema sea capaz de escalar en junio para la asimilación del corte trimestral.</w:t>
      </w:r>
    </w:p>
    <w:p w14:paraId="6254F960" w14:textId="77777777" w:rsidR="00AE1A4F" w:rsidRDefault="00AE1A4F">
      <w:pPr>
        <w:pStyle w:val="Ttulo2"/>
        <w:rPr>
          <w:rFonts w:ascii="Calibri" w:eastAsia="Times New Roman" w:hAnsi="Calibri" w:cs="Calibri"/>
        </w:rPr>
      </w:pPr>
      <w:r>
        <w:rPr>
          <w:rFonts w:ascii="Calibri" w:eastAsia="Times New Roman" w:hAnsi="Calibri" w:cs="Calibri"/>
        </w:rPr>
        <w:t>5. Próximos Pasos</w:t>
      </w:r>
    </w:p>
    <w:p w14:paraId="70EFD5FA" w14:textId="77777777" w:rsidR="00AE1A4F" w:rsidRDefault="00AE1A4F" w:rsidP="00AE1A4F">
      <w:pPr>
        <w:numPr>
          <w:ilvl w:val="0"/>
          <w:numId w:val="15"/>
        </w:numPr>
        <w:spacing w:before="100" w:beforeAutospacing="1" w:after="100" w:afterAutospacing="1" w:line="240" w:lineRule="auto"/>
        <w:rPr>
          <w:rFonts w:ascii="Calibri" w:eastAsia="Times New Roman" w:hAnsi="Calibri" w:cs="Calibri"/>
        </w:rPr>
      </w:pPr>
      <w:r>
        <w:rPr>
          <w:rFonts w:ascii="Calibri" w:eastAsia="Times New Roman" w:hAnsi="Calibri" w:cs="Calibri"/>
        </w:rPr>
        <w:t>Validar y auditar la integridad del hash criptográfico en entornos productivos.</w:t>
      </w:r>
    </w:p>
    <w:p w14:paraId="3BF0CC8F" w14:textId="77777777" w:rsidR="00AE1A4F" w:rsidRDefault="00AE1A4F" w:rsidP="00AE1A4F">
      <w:pPr>
        <w:numPr>
          <w:ilvl w:val="0"/>
          <w:numId w:val="15"/>
        </w:numPr>
        <w:spacing w:before="100" w:beforeAutospacing="1" w:after="100" w:afterAutospacing="1" w:line="240" w:lineRule="auto"/>
        <w:rPr>
          <w:rFonts w:ascii="Calibri" w:eastAsia="Times New Roman" w:hAnsi="Calibri" w:cs="Calibri"/>
        </w:rPr>
      </w:pPr>
      <w:r>
        <w:rPr>
          <w:rFonts w:ascii="Calibri" w:eastAsia="Times New Roman" w:hAnsi="Calibri" w:cs="Calibri"/>
        </w:rPr>
        <w:t>Extender la monitorización del tamaño de los índices en PostgreSQL para evitar el "</w:t>
      </w:r>
      <w:proofErr w:type="spellStart"/>
      <w:r>
        <w:rPr>
          <w:rFonts w:ascii="Calibri" w:eastAsia="Times New Roman" w:hAnsi="Calibri" w:cs="Calibri"/>
        </w:rPr>
        <w:t>Index</w:t>
      </w:r>
      <w:proofErr w:type="spellEnd"/>
      <w:r>
        <w:rPr>
          <w:rFonts w:ascii="Calibri" w:eastAsia="Times New Roman" w:hAnsi="Calibri" w:cs="Calibri"/>
        </w:rPr>
        <w:t xml:space="preserve"> </w:t>
      </w:r>
      <w:proofErr w:type="spellStart"/>
      <w:r>
        <w:rPr>
          <w:rFonts w:ascii="Calibri" w:eastAsia="Times New Roman" w:hAnsi="Calibri" w:cs="Calibri"/>
        </w:rPr>
        <w:t>Bloat</w:t>
      </w:r>
      <w:proofErr w:type="spellEnd"/>
      <w:r>
        <w:rPr>
          <w:rFonts w:ascii="Calibri" w:eastAsia="Times New Roman" w:hAnsi="Calibri" w:cs="Calibri"/>
        </w:rPr>
        <w:t>" causado por reintentos repetitivos de transacciones.</w:t>
      </w:r>
    </w:p>
    <w:p w14:paraId="3F888E12" w14:textId="77777777" w:rsidR="00AE1A4F" w:rsidRDefault="00AE1A4F">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bookmarkEnd w:id="0"/>
    <w:bookmarkEnd w:id="1"/>
    <w:bookmarkEnd w:id="2"/>
    <w:p w14:paraId="6124111A" w14:textId="77777777" w:rsidR="00AE1A4F" w:rsidRDefault="00AE1A4F" w:rsidP="00762984">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8. Sección de firmas</w:t>
      </w:r>
    </w:p>
    <w:p w14:paraId="488F7A54" w14:textId="74BF120A"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1BD84" w14:textId="77777777" w:rsidR="004866AF" w:rsidRPr="00F35958" w:rsidRDefault="004866AF" w:rsidP="00997E2E">
      <w:r w:rsidRPr="00F35958">
        <w:separator/>
      </w:r>
    </w:p>
  </w:endnote>
  <w:endnote w:type="continuationSeparator" w:id="0">
    <w:p w14:paraId="31B705C3" w14:textId="77777777" w:rsidR="004866AF" w:rsidRPr="00F35958" w:rsidRDefault="004866AF"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3" w:name="_Hlk195261366"/>
    <w:bookmarkStart w:id="4"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3"/>
  <w:bookmarkEnd w:id="4"/>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56F3A" w14:textId="77777777" w:rsidR="004866AF" w:rsidRPr="00F35958" w:rsidRDefault="004866AF" w:rsidP="00997E2E">
      <w:r w:rsidRPr="00F35958">
        <w:separator/>
      </w:r>
    </w:p>
  </w:footnote>
  <w:footnote w:type="continuationSeparator" w:id="0">
    <w:p w14:paraId="2AD5D58E" w14:textId="77777777" w:rsidR="004866AF" w:rsidRPr="00F35958" w:rsidRDefault="004866AF"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1B6222"/>
    <w:multiLevelType w:val="multilevel"/>
    <w:tmpl w:val="02A0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F51DD"/>
    <w:multiLevelType w:val="multilevel"/>
    <w:tmpl w:val="BA003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C7A78EE"/>
    <w:multiLevelType w:val="multilevel"/>
    <w:tmpl w:val="0D90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2"/>
  </w:num>
  <w:num w:numId="8" w16cid:durableId="1187519976">
    <w:abstractNumId w:val="10"/>
  </w:num>
  <w:num w:numId="9" w16cid:durableId="774518276">
    <w:abstractNumId w:val="7"/>
  </w:num>
  <w:num w:numId="10" w16cid:durableId="2009867063">
    <w:abstractNumId w:val="11"/>
  </w:num>
  <w:num w:numId="11" w16cid:durableId="1924602666">
    <w:abstractNumId w:val="13"/>
  </w:num>
  <w:num w:numId="12" w16cid:durableId="2021344936">
    <w:abstractNumId w:val="2"/>
  </w:num>
  <w:num w:numId="13" w16cid:durableId="1457332431">
    <w:abstractNumId w:val="8"/>
  </w:num>
  <w:num w:numId="14" w16cid:durableId="554700010">
    <w:abstractNumId w:val="14"/>
  </w:num>
  <w:num w:numId="15" w16cid:durableId="434985804">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866AF"/>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C1640"/>
    <w:rsid w:val="0090295F"/>
    <w:rsid w:val="00907CAD"/>
    <w:rsid w:val="00941C93"/>
    <w:rsid w:val="00974196"/>
    <w:rsid w:val="00977E0D"/>
    <w:rsid w:val="0098514F"/>
    <w:rsid w:val="009915B2"/>
    <w:rsid w:val="0099483E"/>
    <w:rsid w:val="00997E2E"/>
    <w:rsid w:val="009A0624"/>
    <w:rsid w:val="009B4888"/>
    <w:rsid w:val="00A149CB"/>
    <w:rsid w:val="00A276F6"/>
    <w:rsid w:val="00A46355"/>
    <w:rsid w:val="00A96A40"/>
    <w:rsid w:val="00AA1D8D"/>
    <w:rsid w:val="00AC51FC"/>
    <w:rsid w:val="00AD19C4"/>
    <w:rsid w:val="00AE1A4F"/>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C330C"/>
    <w:rsid w:val="00CE3CE1"/>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NormalWeb">
    <w:name w:val="Normal (Web)"/>
    <w:basedOn w:val="Normal"/>
    <w:uiPriority w:val="99"/>
    <w:semiHidden/>
    <w:unhideWhenUsed/>
    <w:rsid w:val="00AE1A4F"/>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AE1A4F"/>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599</Words>
  <Characters>3296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68</cp:revision>
  <cp:lastPrinted>2026-01-20T21:57:00Z</cp:lastPrinted>
  <dcterms:created xsi:type="dcterms:W3CDTF">2026-02-13T01:04:00Z</dcterms:created>
  <dcterms:modified xsi:type="dcterms:W3CDTF">2026-06-01T21:49:00Z</dcterms:modified>
  <cp:category/>
</cp:coreProperties>
</file>