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8644A" w14:textId="77777777" w:rsidR="00503690" w:rsidRDefault="00503690">
      <w:pPr>
        <w:pStyle w:val="Ttulo1"/>
        <w:rPr>
          <w:rFonts w:ascii="Calibri" w:eastAsia="Times New Roman" w:hAnsi="Calibri" w:cs="Calibri"/>
        </w:rPr>
      </w:pPr>
      <w:bookmarkStart w:id="0" w:name="_Toc217296775"/>
      <w:bookmarkStart w:id="1" w:name="_Toc219739752"/>
      <w:bookmarkStart w:id="2" w:name="_Toc221820033"/>
      <w:r>
        <w:rPr>
          <w:rFonts w:ascii="Calibri" w:eastAsia="Times New Roman" w:hAnsi="Calibri" w:cs="Calibri"/>
        </w:rPr>
        <w:t>Reporte de Monitoreo, Alertamiento e Incidencias</w:t>
      </w:r>
    </w:p>
    <w:p w14:paraId="34EC556F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69964209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47054BF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246FF86F" w14:textId="77777777" w:rsidR="00503690" w:rsidRDefault="0050369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283CFC">
          <v:rect id="_x0000_i1025" style="width:0;height:1.5pt" o:hralign="center" o:hrstd="t" o:hr="t" fillcolor="#a0a0a0" stroked="f"/>
        </w:pict>
      </w:r>
    </w:p>
    <w:p w14:paraId="769A7404" w14:textId="77777777" w:rsidR="00503690" w:rsidRDefault="0050369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1E61B86A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las políticas de alertamiento, trazabilidad de incidencias operativas y resoluciones de seguridad identificadas durante mayo. Este reporte detalla la madurez de los procesos de *Root Cause Analysis* (RCA) instrumentados sobre ambos frentes: la plataforma MUSEMS-PU y el orquestador de descargas de Vida Saludable.</w:t>
      </w:r>
    </w:p>
    <w:p w14:paraId="25EC70D5" w14:textId="77777777" w:rsidR="00503690" w:rsidRDefault="0050369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Eventos y Mitigaciones de Seguridad (Vida Saludable)</w:t>
      </w:r>
    </w:p>
    <w:p w14:paraId="7AB1694D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de monitoreo humano y automático derivó en la identificación del incidente de seguridad crítico más relevante del mes, catalogado el 17 de abril/mayo y remediado íntegramente.</w:t>
      </w:r>
    </w:p>
    <w:p w14:paraId="0321AB95" w14:textId="77777777" w:rsidR="00503690" w:rsidRDefault="0050369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Identificación de Violación a LGPDPPSO</w:t>
      </w:r>
    </w:p>
    <w:p w14:paraId="3DC0294D" w14:textId="77777777" w:rsidR="00503690" w:rsidRDefault="00503690" w:rsidP="005036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Detección:</w:t>
      </w:r>
      <w:r>
        <w:rPr>
          <w:rFonts w:ascii="Calibri" w:eastAsia="Times New Roman" w:hAnsi="Calibri" w:cs="Calibri"/>
        </w:rPr>
        <w:t xml:space="preserve"> El 17 de abril se detectó que un archivo temporal 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</w:rPr>
        <w:t xml:space="preserve"> (12.6 MB, con 128,112 registros) fue subido por error al historial de Git, conteniendo datos personales (CURPs y nombres completos).</w:t>
      </w:r>
    </w:p>
    <w:p w14:paraId="0FFD5555" w14:textId="77777777" w:rsidR="00503690" w:rsidRDefault="00503690" w:rsidP="005036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Criticidad:</w:t>
      </w:r>
      <w:r>
        <w:rPr>
          <w:rFonts w:ascii="Calibri" w:eastAsia="Times New Roman" w:hAnsi="Calibri" w:cs="Calibri"/>
        </w:rPr>
        <w:t xml:space="preserve"> Riesgo legal de sanción administrativa por violación a los artículos 6, 11, 13 y 21 de la Ley de Protección de Datos.</w:t>
      </w:r>
    </w:p>
    <w:p w14:paraId="04BF46A5" w14:textId="77777777" w:rsidR="00503690" w:rsidRDefault="00503690" w:rsidP="005036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Aplicada (RCA):</w:t>
      </w:r>
    </w:p>
    <w:p w14:paraId="3905D43A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Fase 1 (Inmediata):</w:t>
      </w:r>
      <w:r>
        <w:rPr>
          <w:rFonts w:ascii="Calibri" w:hAnsi="Calibri" w:cs="Calibri"/>
          <w:sz w:val="22"/>
          <w:szCs w:val="22"/>
        </w:rPr>
        <w:t xml:space="preserve"> Eliminación del archivo, reemplazo por </w:t>
      </w:r>
      <w:r>
        <w:rPr>
          <w:rStyle w:val="CdigoHTML"/>
        </w:rPr>
        <w:t>examples/*.csv</w:t>
      </w:r>
      <w:r>
        <w:rPr>
          <w:rFonts w:ascii="Calibri" w:hAnsi="Calibri" w:cs="Calibri"/>
          <w:sz w:val="22"/>
          <w:szCs w:val="22"/>
        </w:rPr>
        <w:t xml:space="preserve"> sintéticos, actualización estricta del </w:t>
      </w:r>
      <w:r>
        <w:rPr>
          <w:rStyle w:val="CdigoHTML"/>
        </w:rPr>
        <w:t>.gitignore</w:t>
      </w:r>
      <w:r>
        <w:rPr>
          <w:rFonts w:ascii="Calibri" w:hAnsi="Calibri" w:cs="Calibri"/>
          <w:sz w:val="22"/>
          <w:szCs w:val="22"/>
        </w:rPr>
        <w:t>.</w:t>
      </w:r>
    </w:p>
    <w:p w14:paraId="2FAB75F6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Fase 2 (Profunda):</w:t>
      </w:r>
      <w:r>
        <w:rPr>
          <w:rFonts w:ascii="Calibri" w:hAnsi="Calibri" w:cs="Calibri"/>
          <w:sz w:val="22"/>
          <w:szCs w:val="22"/>
        </w:rPr>
        <w:t xml:space="preserve"> Reescritura absoluta del historial de Git en las ramas </w:t>
      </w:r>
      <w:r>
        <w:rPr>
          <w:rStyle w:val="CdigoHTML"/>
        </w:rPr>
        <w:t>feature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empleando </w:t>
      </w:r>
      <w:r>
        <w:rPr>
          <w:rStyle w:val="CdigoHTML"/>
        </w:rPr>
        <w:t>git filter-repo</w:t>
      </w:r>
      <w:r>
        <w:rPr>
          <w:rFonts w:ascii="Calibri" w:hAnsi="Calibri" w:cs="Calibri"/>
          <w:sz w:val="22"/>
          <w:szCs w:val="22"/>
        </w:rPr>
        <w:t>/</w:t>
      </w:r>
      <w:r>
        <w:rPr>
          <w:rStyle w:val="CdigoHTML"/>
        </w:rPr>
        <w:t>BFG Repo-Cleaner</w:t>
      </w:r>
      <w:r>
        <w:rPr>
          <w:rFonts w:ascii="Calibri" w:hAnsi="Calibri" w:cs="Calibri"/>
          <w:sz w:val="22"/>
          <w:szCs w:val="22"/>
        </w:rPr>
        <w:t>, revocando cualquier clon viejo del repositorio.</w:t>
      </w:r>
    </w:p>
    <w:p w14:paraId="5FD91D61" w14:textId="77777777" w:rsidR="00503690" w:rsidRDefault="00503690" w:rsidP="005036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Medidas Preventivas Post-Mortem:</w:t>
      </w:r>
      <w:r>
        <w:rPr>
          <w:rFonts w:ascii="Calibri" w:eastAsia="Times New Roman" w:hAnsi="Calibri" w:cs="Calibri"/>
        </w:rPr>
        <w:t xml:space="preserve"> Diseño de un scrip</w:t>
      </w:r>
      <w:r>
        <w:rPr>
          <w:rFonts w:ascii="Calibri" w:eastAsia="Times New Roman" w:hAnsi="Calibri" w:cs="Calibri"/>
        </w:rPr>
        <w:lastRenderedPageBreak/>
        <w:t xml:space="preserve">t </w:t>
      </w:r>
      <w:r>
        <w:rPr>
          <w:rStyle w:val="CdigoHTML"/>
        </w:rPr>
        <w:t>pre-commit</w:t>
      </w:r>
      <w:r>
        <w:rPr>
          <w:rFonts w:ascii="Calibri" w:eastAsia="Times New Roman" w:hAnsi="Calibri" w:cs="Calibri"/>
        </w:rPr>
        <w:t xml:space="preserve"> hook local en Python (</w:t>
      </w:r>
      <w:r>
        <w:rPr>
          <w:rStyle w:val="CdigoHTML"/>
        </w:rPr>
        <w:t>.git/hooks/pre-commit</w:t>
      </w:r>
      <w:r>
        <w:rPr>
          <w:rFonts w:ascii="Calibri" w:eastAsia="Times New Roman" w:hAnsi="Calibri" w:cs="Calibri"/>
        </w:rPr>
        <w:t xml:space="preserve">) que escanea preventivamente extensiones </w:t>
      </w:r>
      <w:r>
        <w:rPr>
          <w:rStyle w:val="CdigoHTML"/>
        </w:rPr>
        <w:t>*.csv</w:t>
      </w:r>
      <w:r>
        <w:rPr>
          <w:rFonts w:ascii="Calibri" w:eastAsia="Times New Roman" w:hAnsi="Calibri" w:cs="Calibri"/>
        </w:rPr>
        <w:t xml:space="preserve"> y detiene commits que incluyan la palabra </w:t>
      </w:r>
      <w:r>
        <w:rPr>
          <w:rStyle w:val="CdigoHTML"/>
        </w:rPr>
        <w:t>MENORES</w:t>
      </w:r>
      <w:r>
        <w:rPr>
          <w:rFonts w:ascii="Calibri" w:eastAsia="Times New Roman" w:hAnsi="Calibri" w:cs="Calibri"/>
        </w:rPr>
        <w:t xml:space="preserve"> o </w:t>
      </w:r>
      <w:r>
        <w:rPr>
          <w:rStyle w:val="CdigoHTML"/>
        </w:rPr>
        <w:t>CURP</w:t>
      </w:r>
      <w:r>
        <w:rPr>
          <w:rFonts w:ascii="Calibri" w:eastAsia="Times New Roman" w:hAnsi="Calibri" w:cs="Calibri"/>
        </w:rPr>
        <w:t>, acoplando la seguridad desde el control de versiones.</w:t>
      </w:r>
    </w:p>
    <w:p w14:paraId="2749093A" w14:textId="77777777" w:rsidR="00503690" w:rsidRDefault="0050369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Incidentes de Interfaz de Usuario (SEP_MUSEMS_PU - Issue #45)</w:t>
      </w:r>
    </w:p>
    <w:p w14:paraId="37F3BAA1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la par, se instrumentó un esquema de monitorización sobre el Frontend del proyecto secundario para diagnosticar problemas de permisos y *Information Leakage*.</w:t>
      </w:r>
    </w:p>
    <w:p w14:paraId="1C4B940C" w14:textId="77777777" w:rsidR="00503690" w:rsidRDefault="0050369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Análisis de Causa Raíz (RCA) - Fugas de Metadatos</w:t>
      </w:r>
    </w:p>
    <w:p w14:paraId="1A7B56DF" w14:textId="77777777" w:rsidR="00503690" w:rsidRDefault="00503690" w:rsidP="005036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Síntoma Identificado:</w:t>
      </w:r>
      <w:r>
        <w:rPr>
          <w:rFonts w:ascii="Calibri" w:eastAsia="Times New Roman" w:hAnsi="Calibri" w:cs="Calibri"/>
        </w:rPr>
        <w:t xml:space="preserve"> Los logs de red y reportes de usuario indicaban que usuarios con permisos restringidos podían ver y presionar pestañas críticas (Incidencias Técnicas, Deserción Bajas), arrojando errores recurrentes 403 HTTP.</w:t>
      </w:r>
    </w:p>
    <w:p w14:paraId="08C05992" w14:textId="77777777" w:rsidR="00503690" w:rsidRDefault="00503690" w:rsidP="005036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Diagnóstico (Issue #45):</w:t>
      </w:r>
      <w:r>
        <w:rPr>
          <w:rFonts w:ascii="Calibri" w:eastAsia="Times New Roman" w:hAnsi="Calibri" w:cs="Calibri"/>
        </w:rPr>
        <w:t xml:space="preserve"> El código en </w:t>
      </w:r>
      <w:r>
        <w:rPr>
          <w:rStyle w:val="CdigoHTML"/>
        </w:rPr>
        <w:t>App.tsx</w:t>
      </w:r>
      <w:r>
        <w:rPr>
          <w:rFonts w:ascii="Calibri" w:eastAsia="Times New Roman" w:hAnsi="Calibri" w:cs="Calibri"/>
        </w:rPr>
        <w:t xml:space="preserve"> poseía un acoplamiento incompleto de guardias de UI (</w:t>
      </w:r>
      <w:r>
        <w:rPr>
          <w:rStyle w:val="CdigoHTML"/>
        </w:rPr>
        <w:t>hasPermission(...)</w:t>
      </w:r>
      <w:r>
        <w:rPr>
          <w:rFonts w:ascii="Calibri" w:eastAsia="Times New Roman" w:hAnsi="Calibri" w:cs="Calibri"/>
        </w:rPr>
        <w:t>). Se trataba de una falta de abstracción donde el menú imperativo permitía montajes de componentes por defecto.</w:t>
      </w:r>
    </w:p>
    <w:p w14:paraId="5638DE20" w14:textId="77777777" w:rsidR="00503690" w:rsidRDefault="00503690" w:rsidP="005036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Estructural:</w:t>
      </w:r>
      <w:r>
        <w:rPr>
          <w:rFonts w:ascii="Calibri" w:eastAsia="Times New Roman" w:hAnsi="Calibri" w:cs="Calibri"/>
        </w:rPr>
        <w:t xml:space="preserve"> Se refactorizó el menú hacia un arreglo de objetos (Data-driven menu) e implement</w:t>
      </w:r>
      <w:r>
        <w:rPr>
          <w:rFonts w:ascii="Calibri" w:eastAsia="Times New Roman" w:hAnsi="Calibri" w:cs="Calibri"/>
        </w:rPr>
        <w:lastRenderedPageBreak/>
        <w:t xml:space="preserve">ó el componente </w:t>
      </w:r>
      <w:r>
        <w:rPr>
          <w:rStyle w:val="CdigoHTML"/>
        </w:rPr>
        <w:t>&lt;ProtectedRoute&gt;</w:t>
      </w:r>
      <w:r>
        <w:rPr>
          <w:rFonts w:ascii="Calibri" w:eastAsia="Times New Roman" w:hAnsi="Calibri" w:cs="Calibri"/>
        </w:rPr>
        <w:t xml:space="preserve"> para interceptar renders a nivel de React y validar contra la matriz de la tabla </w:t>
      </w:r>
      <w:r>
        <w:rPr>
          <w:rStyle w:val="CdigoHTML"/>
        </w:rPr>
        <w:t>CTMU064</w:t>
      </w:r>
      <w:r>
        <w:rPr>
          <w:rFonts w:ascii="Calibri" w:eastAsia="Times New Roman" w:hAnsi="Calibri" w:cs="Calibri"/>
        </w:rPr>
        <w:t xml:space="preserve"> de Oracle.</w:t>
      </w:r>
    </w:p>
    <w:p w14:paraId="5EAE5248" w14:textId="77777777" w:rsidR="00503690" w:rsidRDefault="0050369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Trazas y Umbrales Técnicos del Orquestador</w:t>
      </w:r>
    </w:p>
    <w:p w14:paraId="60977A22" w14:textId="77777777" w:rsidR="00503690" w:rsidRDefault="0050369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instrumentación en el sistema de descargas del IMSS reportó latencias persistidas que permitieron reajustar los umbrales estáticos:</w:t>
      </w:r>
    </w:p>
    <w:p w14:paraId="2E354C5C" w14:textId="77777777" w:rsidR="00503690" w:rsidRDefault="00503690" w:rsidP="0050369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Circuit Breaker Activo:</w:t>
      </w:r>
      <w:r>
        <w:rPr>
          <w:rFonts w:ascii="Calibri" w:eastAsia="Times New Roman" w:hAnsi="Calibri" w:cs="Calibri"/>
        </w:rPr>
        <w:t xml:space="preserve"> Se validó empíricamente que el límite de Rate Limit de la API IMSS se rebasa al usar 20 hilos. Esto quedó marcado como una *Warning* proactiva y no como falla total de lote.</w:t>
      </w:r>
    </w:p>
    <w:p w14:paraId="4DBF2F60" w14:textId="77777777" w:rsidR="00503690" w:rsidRDefault="00503690" w:rsidP="0050369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Umbrales Modificados:</w:t>
      </w:r>
      <w:r>
        <w:rPr>
          <w:rFonts w:ascii="Calibri" w:eastAsia="Times New Roman" w:hAnsi="Calibri" w:cs="Calibri"/>
        </w:rPr>
        <w:t xml:space="preserve"> El sistema ahora despacha alertas a los canales secundarios de soporte si el lote excede el 8% de *failures* (Nivel Crítico) o el 3% (Nivel Preventivo), disminuyendo la "fatiga de alertas" sobre los responsables operativos.</w:t>
      </w:r>
    </w:p>
    <w:p w14:paraId="3A895A6E" w14:textId="77777777" w:rsidR="00503690" w:rsidRDefault="0050369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Próximos Pasos</w:t>
      </w:r>
    </w:p>
    <w:p w14:paraId="425EFEA9" w14:textId="77777777" w:rsidR="00503690" w:rsidRDefault="00503690" w:rsidP="005036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Consolidar las herramientas de monitoreo (como el hook pre-commit) en todos los flujos de trabajo de repositorios corporativos.</w:t>
      </w:r>
    </w:p>
    <w:p w14:paraId="515C64EC" w14:textId="77777777" w:rsidR="00503690" w:rsidRDefault="00503690" w:rsidP="005036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Auditar regularmente los reportes del componente protegido de UI para evitar regresiones de visibilidad de módulos en Oracle.</w:t>
      </w:r>
    </w:p>
    <w:p w14:paraId="04C68781" w14:textId="77777777" w:rsidR="00503690" w:rsidRDefault="0050369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br w:type="page"/>
      </w:r>
    </w:p>
    <w:bookmarkEnd w:id="0"/>
    <w:bookmarkEnd w:id="1"/>
    <w:bookmarkEnd w:id="2"/>
    <w:p w14:paraId="40D9A964" w14:textId="77777777" w:rsidR="00503690" w:rsidRDefault="00503690" w:rsidP="0076298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</w:p>
    <w:p w14:paraId="488F7A54" w14:textId="4F490F38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F6143" w14:textId="77777777" w:rsidR="00427492" w:rsidRPr="00F35958" w:rsidRDefault="00427492" w:rsidP="00997E2E">
      <w:r w:rsidRPr="00F35958">
        <w:separator/>
      </w:r>
    </w:p>
  </w:endnote>
  <w:endnote w:type="continuationSeparator" w:id="0">
    <w:p w14:paraId="32A1F27F" w14:textId="77777777" w:rsidR="00427492" w:rsidRPr="00F35958" w:rsidRDefault="00427492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3" w:name="_Hlk195261366"/>
    <w:bookmarkStart w:id="4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3"/>
  <w:bookmarkEnd w:id="4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4A703" w14:textId="77777777" w:rsidR="00427492" w:rsidRPr="00F35958" w:rsidRDefault="00427492" w:rsidP="00997E2E">
      <w:r w:rsidRPr="00F35958">
        <w:separator/>
      </w:r>
    </w:p>
  </w:footnote>
  <w:footnote w:type="continuationSeparator" w:id="0">
    <w:p w14:paraId="3258A3FE" w14:textId="77777777" w:rsidR="00427492" w:rsidRPr="00F35958" w:rsidRDefault="00427492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4B36A0"/>
    <w:multiLevelType w:val="multilevel"/>
    <w:tmpl w:val="B46A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052C02"/>
    <w:multiLevelType w:val="multilevel"/>
    <w:tmpl w:val="F1FC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192EA9"/>
    <w:multiLevelType w:val="multilevel"/>
    <w:tmpl w:val="841E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FF3978"/>
    <w:multiLevelType w:val="multilevel"/>
    <w:tmpl w:val="0548D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1266E6"/>
    <w:multiLevelType w:val="multilevel"/>
    <w:tmpl w:val="EB3E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3"/>
  </w:num>
  <w:num w:numId="8" w16cid:durableId="1187519976">
    <w:abstractNumId w:val="10"/>
  </w:num>
  <w:num w:numId="9" w16cid:durableId="774518276">
    <w:abstractNumId w:val="8"/>
  </w:num>
  <w:num w:numId="10" w16cid:durableId="2009867063">
    <w:abstractNumId w:val="12"/>
  </w:num>
  <w:num w:numId="11" w16cid:durableId="1924602666">
    <w:abstractNumId w:val="14"/>
  </w:num>
  <w:num w:numId="12" w16cid:durableId="2021344936">
    <w:abstractNumId w:val="2"/>
  </w:num>
  <w:num w:numId="13" w16cid:durableId="562914110">
    <w:abstractNumId w:val="16"/>
  </w:num>
  <w:num w:numId="14" w16cid:durableId="538050725">
    <w:abstractNumId w:val="7"/>
  </w:num>
  <w:num w:numId="15" w16cid:durableId="1501197099">
    <w:abstractNumId w:val="15"/>
  </w:num>
  <w:num w:numId="16" w16cid:durableId="1984191307">
    <w:abstractNumId w:val="9"/>
  </w:num>
  <w:num w:numId="17" w16cid:durableId="1397968366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27492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3690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1F83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503690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503690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604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 Polanco</cp:lastModifiedBy>
  <cp:revision>68</cp:revision>
  <cp:lastPrinted>2026-01-20T21:57:00Z</cp:lastPrinted>
  <dcterms:created xsi:type="dcterms:W3CDTF">2026-02-13T01:04:00Z</dcterms:created>
  <dcterms:modified xsi:type="dcterms:W3CDTF">2026-06-01T21:49:00Z</dcterms:modified>
  <cp:category/>
</cp:coreProperties>
</file>