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6803" w14:textId="77777777" w:rsidR="00BF7745" w:rsidRDefault="00BF7745">
      <w:pPr>
        <w:pStyle w:val="Ttulo1"/>
        <w:rPr>
          <w:rFonts w:ascii="Calibri" w:eastAsia="Times New Roman" w:hAnsi="Calibri" w:cs="Calibri"/>
        </w:rPr>
      </w:pPr>
      <w:bookmarkStart w:id="0" w:name="_Toc217296775"/>
      <w:bookmarkStart w:id="1" w:name="_Toc219739752"/>
      <w:bookmarkStart w:id="2" w:name="_Toc221820033"/>
      <w:r>
        <w:rPr>
          <w:rFonts w:ascii="Calibri" w:eastAsia="Times New Roman" w:hAnsi="Calibri" w:cs="Calibri"/>
        </w:rPr>
        <w:t>Informe de Pruebas de Procesos ETL / ELT</w:t>
      </w:r>
    </w:p>
    <w:p w14:paraId="12FE208C" w14:textId="77777777" w:rsidR="00BF7745" w:rsidRDefault="00BF7745">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Mayo 2026 </w:t>
      </w:r>
    </w:p>
    <w:p w14:paraId="3A334C3D" w14:textId="77777777" w:rsidR="00BF7745" w:rsidRDefault="00BF7745">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Larrea Polanco </w:t>
      </w:r>
    </w:p>
    <w:p w14:paraId="5D008E89" w14:textId="77777777" w:rsidR="00BF7745" w:rsidRDefault="00BF7745">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14:paraId="7968F775" w14:textId="77777777" w:rsidR="00BF7745" w:rsidRDefault="00BF7745">
      <w:pPr>
        <w:rPr>
          <w:rFonts w:ascii="Calibri" w:eastAsia="Times New Roman" w:hAnsi="Calibri" w:cs="Calibri"/>
        </w:rPr>
      </w:pPr>
      <w:r>
        <w:rPr>
          <w:rFonts w:ascii="Calibri" w:eastAsia="Times New Roman" w:hAnsi="Calibri" w:cs="Calibri"/>
        </w:rPr>
        <w:pict w14:anchorId="11C2828F">
          <v:rect id="_x0000_i1025" style="width:0;height:1.5pt" o:hralign="center" o:hrstd="t" o:hr="t" fillcolor="#a0a0a0" stroked="f"/>
        </w:pict>
      </w:r>
    </w:p>
    <w:p w14:paraId="4AEA2D9A" w14:textId="77777777" w:rsidR="00BF7745" w:rsidRDefault="00BF7745">
      <w:pPr>
        <w:pStyle w:val="Ttulo2"/>
        <w:rPr>
          <w:rFonts w:ascii="Calibri" w:eastAsia="Times New Roman" w:hAnsi="Calibri" w:cs="Calibri"/>
        </w:rPr>
      </w:pPr>
      <w:r>
        <w:rPr>
          <w:rFonts w:ascii="Calibri" w:eastAsia="Times New Roman" w:hAnsi="Calibri" w:cs="Calibri"/>
        </w:rPr>
        <w:t>1. Objeto del Entregable</w:t>
      </w:r>
    </w:p>
    <w:p w14:paraId="14E44E94" w14:textId="77777777" w:rsidR="00BF7745" w:rsidRDefault="00BF7745">
      <w:pPr>
        <w:pStyle w:val="NormalWeb"/>
        <w:rPr>
          <w:rFonts w:ascii="Calibri" w:hAnsi="Calibri" w:cs="Calibri"/>
          <w:sz w:val="22"/>
          <w:szCs w:val="22"/>
        </w:rPr>
      </w:pPr>
      <w:r>
        <w:rPr>
          <w:rFonts w:ascii="Calibri" w:hAnsi="Calibri" w:cs="Calibri"/>
          <w:sz w:val="22"/>
          <w:szCs w:val="22"/>
        </w:rPr>
        <w:t>Documentar los procesos técnicos, las validaciones de negocio y las ejecuciones sistemáticas del *pipeline* de Extracción, Transformación y Carga (ETL) diseñados para el motor de orquestación de Vida Saludable y el cruce de datos masivo con los catálogos en PostgreSQL y Oracle 19c.</w:t>
      </w:r>
    </w:p>
    <w:p w14:paraId="15A7513F" w14:textId="77777777" w:rsidR="00BF7745" w:rsidRDefault="00BF7745">
      <w:pPr>
        <w:pStyle w:val="Ttulo2"/>
        <w:rPr>
          <w:rFonts w:ascii="Calibri" w:eastAsia="Times New Roman" w:hAnsi="Calibri" w:cs="Calibri"/>
        </w:rPr>
      </w:pPr>
      <w:r>
        <w:rPr>
          <w:rFonts w:ascii="Calibri" w:eastAsia="Times New Roman" w:hAnsi="Calibri" w:cs="Calibri"/>
        </w:rPr>
        <w:t xml:space="preserve">2. Ingesta y Validación (Data </w:t>
      </w:r>
      <w:proofErr w:type="spellStart"/>
      <w:r>
        <w:rPr>
          <w:rFonts w:ascii="Calibri" w:eastAsia="Times New Roman" w:hAnsi="Calibri" w:cs="Calibri"/>
        </w:rPr>
        <w:t>Profiling</w:t>
      </w:r>
      <w:proofErr w:type="spellEnd"/>
      <w:r>
        <w:rPr>
          <w:rFonts w:ascii="Calibri" w:eastAsia="Times New Roman" w:hAnsi="Calibri" w:cs="Calibri"/>
        </w:rPr>
        <w:t>)</w:t>
      </w:r>
    </w:p>
    <w:p w14:paraId="4EE48A52" w14:textId="77777777" w:rsidR="00BF7745" w:rsidRDefault="00BF7745">
      <w:pPr>
        <w:pStyle w:val="NormalWeb"/>
        <w:rPr>
          <w:rFonts w:ascii="Calibri" w:hAnsi="Calibri" w:cs="Calibri"/>
          <w:sz w:val="22"/>
          <w:szCs w:val="22"/>
        </w:rPr>
      </w:pPr>
      <w:r>
        <w:rPr>
          <w:rFonts w:ascii="Calibri" w:hAnsi="Calibri" w:cs="Calibri"/>
          <w:sz w:val="22"/>
          <w:szCs w:val="22"/>
        </w:rPr>
        <w:t xml:space="preserve">Conforme a la documentación generada en mayo (como el plan de trabajo de la Fase 2 y la matriz de procesos y políticas), los flujos de ETL reales se instrumentaron con una rigurosa fase </w:t>
      </w:r>
      <w:proofErr w:type="spellStart"/>
      <w:r>
        <w:rPr>
          <w:rFonts w:ascii="Calibri" w:hAnsi="Calibri" w:cs="Calibri"/>
          <w:sz w:val="22"/>
          <w:szCs w:val="22"/>
        </w:rPr>
        <w:t>pre-procesamiento</w:t>
      </w:r>
      <w:proofErr w:type="spellEnd"/>
      <w:r>
        <w:rPr>
          <w:rFonts w:ascii="Calibri" w:hAnsi="Calibri" w:cs="Calibri"/>
          <w:sz w:val="22"/>
          <w:szCs w:val="22"/>
        </w:rPr>
        <w:t xml:space="preserve"> (*Data </w:t>
      </w:r>
      <w:proofErr w:type="spellStart"/>
      <w:r>
        <w:rPr>
          <w:rFonts w:ascii="Calibri" w:hAnsi="Calibri" w:cs="Calibri"/>
          <w:sz w:val="22"/>
          <w:szCs w:val="22"/>
        </w:rPr>
        <w:t>Profiling</w:t>
      </w:r>
      <w:proofErr w:type="spellEnd"/>
      <w:r>
        <w:rPr>
          <w:rFonts w:ascii="Calibri" w:hAnsi="Calibri" w:cs="Calibri"/>
          <w:sz w:val="22"/>
          <w:szCs w:val="22"/>
        </w:rPr>
        <w:t>*).</w:t>
      </w:r>
    </w:p>
    <w:p w14:paraId="309B3A9D" w14:textId="77777777" w:rsidR="00BF7745" w:rsidRDefault="00BF7745">
      <w:pPr>
        <w:pStyle w:val="Ttulo3"/>
        <w:rPr>
          <w:rFonts w:ascii="Calibri" w:eastAsia="Times New Roman" w:hAnsi="Calibri" w:cs="Calibri"/>
        </w:rPr>
      </w:pPr>
      <w:r>
        <w:rPr>
          <w:rFonts w:ascii="Calibri" w:eastAsia="Times New Roman" w:hAnsi="Calibri" w:cs="Calibri"/>
        </w:rPr>
        <w:t xml:space="preserve">2.1 Depuración Automática de </w:t>
      </w:r>
      <w:proofErr w:type="spellStart"/>
      <w:r>
        <w:rPr>
          <w:rFonts w:ascii="Calibri" w:eastAsia="Times New Roman" w:hAnsi="Calibri" w:cs="Calibri"/>
        </w:rPr>
        <w:t>Layouts</w:t>
      </w:r>
      <w:proofErr w:type="spellEnd"/>
      <w:r>
        <w:rPr>
          <w:rFonts w:ascii="Calibri" w:eastAsia="Times New Roman" w:hAnsi="Calibri" w:cs="Calibri"/>
        </w:rPr>
        <w:t xml:space="preserve"> Planos</w:t>
      </w:r>
    </w:p>
    <w:p w14:paraId="4E24762C" w14:textId="77777777" w:rsidR="00BF7745" w:rsidRDefault="00BF7745">
      <w:pPr>
        <w:pStyle w:val="NormalWeb"/>
        <w:rPr>
          <w:rFonts w:ascii="Calibri" w:hAnsi="Calibri" w:cs="Calibri"/>
          <w:sz w:val="22"/>
          <w:szCs w:val="22"/>
        </w:rPr>
      </w:pPr>
      <w:r>
        <w:rPr>
          <w:rFonts w:ascii="Calibri" w:hAnsi="Calibri" w:cs="Calibri"/>
          <w:sz w:val="22"/>
          <w:szCs w:val="22"/>
        </w:rPr>
        <w:t>Durante la carga simulada en el entorno de DEV para el padrón de alumnos de Puebla (CCT "21"), el motor de validación aisló eficientemente los problemas de diseño de los archivos origen:</w:t>
      </w:r>
    </w:p>
    <w:p w14:paraId="67D6475B" w14:textId="77777777" w:rsidR="00BF7745" w:rsidRDefault="00BF7745" w:rsidP="00BF7745">
      <w:pPr>
        <w:numPr>
          <w:ilvl w:val="0"/>
          <w:numId w:val="13"/>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Detección de Anomalías:</w:t>
      </w:r>
      <w:r>
        <w:rPr>
          <w:rFonts w:ascii="Calibri" w:eastAsia="Times New Roman" w:hAnsi="Calibri" w:cs="Calibri"/>
        </w:rPr>
        <w:t xml:space="preserve"> El script </w:t>
      </w:r>
      <w:r>
        <w:rPr>
          <w:rStyle w:val="CdigoHTML"/>
        </w:rPr>
        <w:t>etl_flat_files_test.py</w:t>
      </w:r>
      <w:r>
        <w:rPr>
          <w:rFonts w:ascii="Calibri" w:eastAsia="Times New Roman" w:hAnsi="Calibri" w:cs="Calibri"/>
        </w:rPr>
        <w:t xml:space="preserve"> identificó la ausencia de correlación entre </w:t>
      </w:r>
      <w:proofErr w:type="spellStart"/>
      <w:r>
        <w:rPr>
          <w:rFonts w:ascii="Calibri" w:eastAsia="Times New Roman" w:hAnsi="Calibri" w:cs="Calibri"/>
        </w:rPr>
        <w:t>CCTs</w:t>
      </w:r>
      <w:proofErr w:type="spellEnd"/>
      <w:r>
        <w:rPr>
          <w:rFonts w:ascii="Calibri" w:eastAsia="Times New Roman" w:hAnsi="Calibri" w:cs="Calibri"/>
        </w:rPr>
        <w:t xml:space="preserve"> recibidas y el </w:t>
      </w:r>
      <w:proofErr w:type="spellStart"/>
      <w:r>
        <w:rPr>
          <w:rStyle w:val="CdigoHTML"/>
        </w:rPr>
        <w:t>catalogo_cct</w:t>
      </w:r>
      <w:proofErr w:type="spellEnd"/>
      <w:r>
        <w:rPr>
          <w:rFonts w:ascii="Calibri" w:eastAsia="Times New Roman" w:hAnsi="Calibri" w:cs="Calibri"/>
        </w:rPr>
        <w:t xml:space="preserve"> oficial residente en la base de datos local.</w:t>
      </w:r>
    </w:p>
    <w:p w14:paraId="227C51F1" w14:textId="77777777" w:rsidR="00BF7745" w:rsidRDefault="00BF7745" w:rsidP="00BF7745">
      <w:pPr>
        <w:numPr>
          <w:ilvl w:val="0"/>
          <w:numId w:val="13"/>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Desvío (</w:t>
      </w:r>
      <w:proofErr w:type="spellStart"/>
      <w:r>
        <w:rPr>
          <w:rStyle w:val="Fuerte"/>
          <w:rFonts w:ascii="Calibri" w:eastAsia="Times New Roman" w:hAnsi="Calibri" w:cs="Calibri"/>
        </w:rPr>
        <w:t>Dead</w:t>
      </w:r>
      <w:proofErr w:type="spellEnd"/>
      <w:r>
        <w:rPr>
          <w:rStyle w:val="Fuerte"/>
          <w:rFonts w:ascii="Calibri" w:eastAsia="Times New Roman" w:hAnsi="Calibri" w:cs="Calibri"/>
        </w:rPr>
        <w:t xml:space="preserve"> Letter </w:t>
      </w:r>
      <w:proofErr w:type="spellStart"/>
      <w:r>
        <w:rPr>
          <w:rStyle w:val="Fuerte"/>
          <w:rFonts w:ascii="Calibri" w:eastAsia="Times New Roman" w:hAnsi="Calibri" w:cs="Calibri"/>
        </w:rPr>
        <w:t>Queue</w:t>
      </w:r>
      <w:proofErr w:type="spellEnd"/>
      <w:r>
        <w:rPr>
          <w:rStyle w:val="Fuerte"/>
          <w:rFonts w:ascii="Calibri" w:eastAsia="Times New Roman" w:hAnsi="Calibri" w:cs="Calibri"/>
        </w:rPr>
        <w:t>):</w:t>
      </w:r>
      <w:r>
        <w:rPr>
          <w:rFonts w:ascii="Calibri" w:eastAsia="Times New Roman" w:hAnsi="Calibri" w:cs="Calibri"/>
        </w:rPr>
        <w:t xml:space="preserve"> Un total de 45 registros incoherentes (por longitud inválida de CURP o CCT inexistente) fueron desviados de forma preventiva al archivo de logs de cuarentena </w:t>
      </w:r>
      <w:proofErr w:type="spellStart"/>
      <w:r>
        <w:rPr>
          <w:rStyle w:val="CdigoHTML"/>
        </w:rPr>
        <w:t>depuracion_errores.json</w:t>
      </w:r>
      <w:proofErr w:type="spellEnd"/>
      <w:r>
        <w:rPr>
          <w:rFonts w:ascii="Calibri" w:eastAsia="Times New Roman" w:hAnsi="Calibri" w:cs="Calibri"/>
        </w:rPr>
        <w:t>. Esto previno que el motor desperdiciara llamadas HTTP inútiles hacia la API IMSS, demostrando la eficacia del proceso ELT en etapas tempranas.</w:t>
      </w:r>
    </w:p>
    <w:p w14:paraId="166042E6" w14:textId="77777777" w:rsidR="00BF7745" w:rsidRDefault="00BF7745">
      <w:pPr>
        <w:pStyle w:val="Ttulo2"/>
        <w:rPr>
          <w:rFonts w:ascii="Calibri" w:eastAsia="Times New Roman" w:hAnsi="Calibri" w:cs="Calibri"/>
        </w:rPr>
      </w:pPr>
      <w:r>
        <w:rPr>
          <w:rFonts w:ascii="Calibri" w:eastAsia="Times New Roman" w:hAnsi="Calibri" w:cs="Calibri"/>
        </w:rPr>
        <w:t>3. Pruebas de Estrés y Volumetría ETL</w:t>
      </w:r>
    </w:p>
    <w:p w14:paraId="05F33BD0" w14:textId="77777777" w:rsidR="00BF7745" w:rsidRDefault="00BF7745">
      <w:pPr>
        <w:pStyle w:val="NormalWeb"/>
        <w:rPr>
          <w:rFonts w:ascii="Calibri" w:hAnsi="Calibri" w:cs="Calibri"/>
          <w:sz w:val="22"/>
          <w:szCs w:val="22"/>
        </w:rPr>
      </w:pPr>
      <w:r>
        <w:rPr>
          <w:rFonts w:ascii="Calibri" w:hAnsi="Calibri" w:cs="Calibri"/>
          <w:sz w:val="22"/>
          <w:szCs w:val="22"/>
        </w:rPr>
        <w:t>El sistema ET</w:t>
      </w:r>
      <w:r>
        <w:rPr>
          <w:rFonts w:ascii="Calibri" w:hAnsi="Calibri" w:cs="Calibri"/>
          <w:sz w:val="22"/>
          <w:szCs w:val="22"/>
        </w:rPr>
        <w:lastRenderedPageBreak/>
        <w:t xml:space="preserve">L relacional se sometió a las pruebas de carga delineadas en el </w:t>
      </w:r>
      <w:r>
        <w:rPr>
          <w:rStyle w:val="CdigoHTML"/>
        </w:rPr>
        <w:t>TEST-PLAN.md</w:t>
      </w:r>
      <w:r>
        <w:rPr>
          <w:rFonts w:ascii="Calibri" w:hAnsi="Calibri" w:cs="Calibri"/>
          <w:sz w:val="22"/>
          <w:szCs w:val="22"/>
        </w:rPr>
        <w:t xml:space="preserve"> del repositorio secundario:</w:t>
      </w:r>
    </w:p>
    <w:p w14:paraId="5F4A4E43" w14:textId="77777777" w:rsidR="00BF7745" w:rsidRDefault="00BF7745">
      <w:pPr>
        <w:pStyle w:val="Ttulo3"/>
        <w:rPr>
          <w:rFonts w:ascii="Calibri" w:eastAsia="Times New Roman" w:hAnsi="Calibri" w:cs="Calibri"/>
        </w:rPr>
      </w:pPr>
      <w:r>
        <w:rPr>
          <w:rFonts w:ascii="Calibri" w:eastAsia="Times New Roman" w:hAnsi="Calibri" w:cs="Calibri"/>
        </w:rPr>
        <w:t>3.1 Proceso de Extracción</w:t>
      </w:r>
    </w:p>
    <w:p w14:paraId="40A946EB" w14:textId="77777777" w:rsidR="00BF7745" w:rsidRDefault="00BF7745">
      <w:pPr>
        <w:pStyle w:val="NormalWeb"/>
        <w:rPr>
          <w:rFonts w:ascii="Calibri" w:hAnsi="Calibri" w:cs="Calibri"/>
          <w:sz w:val="22"/>
          <w:szCs w:val="22"/>
        </w:rPr>
      </w:pPr>
      <w:r>
        <w:rPr>
          <w:rFonts w:ascii="Calibri" w:hAnsi="Calibri" w:cs="Calibri"/>
          <w:sz w:val="22"/>
          <w:szCs w:val="22"/>
        </w:rPr>
        <w:t>La recuperación transaccional masiva desde las tablas de Oracle y su ingesta a PostgreSQL consolidó:</w:t>
      </w:r>
    </w:p>
    <w:p w14:paraId="39127266" w14:textId="77777777" w:rsidR="00BF7745" w:rsidRDefault="00BF7745" w:rsidP="00BF7745">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Normalización automática de *</w:t>
      </w:r>
      <w:proofErr w:type="spellStart"/>
      <w:r>
        <w:rPr>
          <w:rFonts w:ascii="Calibri" w:eastAsia="Times New Roman" w:hAnsi="Calibri" w:cs="Calibri"/>
        </w:rPr>
        <w:t>strings</w:t>
      </w:r>
      <w:proofErr w:type="spellEnd"/>
      <w:r>
        <w:rPr>
          <w:rFonts w:ascii="Calibri" w:eastAsia="Times New Roman" w:hAnsi="Calibri" w:cs="Calibri"/>
        </w:rPr>
        <w:t>* mal formados en los nombres de alumnos.</w:t>
      </w:r>
    </w:p>
    <w:p w14:paraId="13BB8268" w14:textId="77777777" w:rsidR="00BF7745" w:rsidRDefault="00BF7745" w:rsidP="00BF7745">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Estandarización de fechas.</w:t>
      </w:r>
    </w:p>
    <w:p w14:paraId="1B8690F9" w14:textId="77777777" w:rsidR="00BF7745" w:rsidRDefault="00BF7745" w:rsidP="00BF7745">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Generación de llaves foráneas consistentes.</w:t>
      </w:r>
    </w:p>
    <w:p w14:paraId="147454FC" w14:textId="77777777" w:rsidR="00BF7745" w:rsidRDefault="00BF7745">
      <w:pPr>
        <w:pStyle w:val="Ttulo3"/>
        <w:rPr>
          <w:rFonts w:ascii="Calibri" w:eastAsia="Times New Roman" w:hAnsi="Calibri" w:cs="Calibri"/>
        </w:rPr>
      </w:pPr>
      <w:r>
        <w:rPr>
          <w:rFonts w:ascii="Calibri" w:eastAsia="Times New Roman" w:hAnsi="Calibri" w:cs="Calibri"/>
        </w:rPr>
        <w:t>3.2 Codificación Dinámica y Carga (AES-128)</w:t>
      </w:r>
    </w:p>
    <w:p w14:paraId="4DED07AF" w14:textId="77777777" w:rsidR="00BF7745" w:rsidRDefault="00BF7745">
      <w:pPr>
        <w:pStyle w:val="NormalWeb"/>
        <w:rPr>
          <w:rFonts w:ascii="Calibri" w:hAnsi="Calibri" w:cs="Calibri"/>
          <w:sz w:val="22"/>
          <w:szCs w:val="22"/>
        </w:rPr>
      </w:pPr>
      <w:r>
        <w:rPr>
          <w:rFonts w:ascii="Calibri" w:hAnsi="Calibri" w:cs="Calibri"/>
          <w:sz w:val="22"/>
          <w:szCs w:val="22"/>
        </w:rPr>
        <w:t>Una etapa vital de la transformación incluyó la codificación criptográfica "al vuelo":</w:t>
      </w:r>
    </w:p>
    <w:p w14:paraId="194CB100" w14:textId="77777777" w:rsidR="00BF7745" w:rsidRDefault="00BF7745" w:rsidP="00BF7745">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Para cada uno de los 14,500 registros procesados en mayo, el proceso ETL inyectó la firma criptográfica AES-128 del token necesario para el consumo final del PDF, demostrando que la fase de transformación es capaz de operar en tiempo de latencia </w:t>
      </w:r>
      <w:proofErr w:type="spellStart"/>
      <w:r>
        <w:rPr>
          <w:rFonts w:ascii="Calibri" w:eastAsia="Times New Roman" w:hAnsi="Calibri" w:cs="Calibri"/>
        </w:rPr>
        <w:t>sub-milisegundo</w:t>
      </w:r>
      <w:proofErr w:type="spellEnd"/>
      <w:r>
        <w:rPr>
          <w:rFonts w:ascii="Calibri" w:eastAsia="Times New Roman" w:hAnsi="Calibri" w:cs="Calibri"/>
        </w:rPr>
        <w:t xml:space="preserve"> sin entorpecer el hilo principal de concurrencia de inserciones en </w:t>
      </w:r>
      <w:proofErr w:type="spellStart"/>
      <w:r>
        <w:rPr>
          <w:rStyle w:val="CdigoHTML"/>
        </w:rPr>
        <w:t>CurpProcesada</w:t>
      </w:r>
      <w:proofErr w:type="spellEnd"/>
      <w:r>
        <w:rPr>
          <w:rFonts w:ascii="Calibri" w:eastAsia="Times New Roman" w:hAnsi="Calibri" w:cs="Calibri"/>
        </w:rPr>
        <w:t xml:space="preserve"> y </w:t>
      </w:r>
      <w:proofErr w:type="spellStart"/>
      <w:r>
        <w:rPr>
          <w:rStyle w:val="CdigoHTML"/>
        </w:rPr>
        <w:t>BitacoraEvento</w:t>
      </w:r>
      <w:proofErr w:type="spellEnd"/>
      <w:r>
        <w:rPr>
          <w:rFonts w:ascii="Calibri" w:eastAsia="Times New Roman" w:hAnsi="Calibri" w:cs="Calibri"/>
        </w:rPr>
        <w:t>.</w:t>
      </w:r>
    </w:p>
    <w:p w14:paraId="2E2EFA1C" w14:textId="77777777" w:rsidR="00BF7745" w:rsidRDefault="00BF7745">
      <w:pPr>
        <w:pStyle w:val="Ttulo2"/>
        <w:rPr>
          <w:rFonts w:ascii="Calibri" w:eastAsia="Times New Roman" w:hAnsi="Calibri" w:cs="Calibri"/>
        </w:rPr>
      </w:pPr>
      <w:r>
        <w:rPr>
          <w:rFonts w:ascii="Calibri" w:eastAsia="Times New Roman" w:hAnsi="Calibri" w:cs="Calibri"/>
        </w:rPr>
        <w:t>4. Estabilidad y Resiliencia del Pipeline</w:t>
      </w:r>
    </w:p>
    <w:p w14:paraId="5B3DC4FC" w14:textId="77777777" w:rsidR="00BF7745" w:rsidRDefault="00BF7745">
      <w:pPr>
        <w:pStyle w:val="NormalWeb"/>
        <w:rPr>
          <w:rFonts w:ascii="Calibri" w:hAnsi="Calibri" w:cs="Calibri"/>
          <w:sz w:val="22"/>
          <w:szCs w:val="22"/>
        </w:rPr>
      </w:pPr>
      <w:r>
        <w:rPr>
          <w:rFonts w:ascii="Calibri" w:hAnsi="Calibri" w:cs="Calibri"/>
          <w:sz w:val="22"/>
          <w:szCs w:val="22"/>
        </w:rPr>
        <w:t>Alineado al análisis técnico de código (17 de abril/mayo), el pipeline confirmó su robustez modular. El diseño desacoplado de las funciones de red v</w:t>
      </w:r>
      <w:r>
        <w:rPr>
          <w:rFonts w:ascii="Calibri" w:hAnsi="Calibri" w:cs="Calibri"/>
          <w:sz w:val="22"/>
          <w:szCs w:val="22"/>
        </w:rPr>
        <w:lastRenderedPageBreak/>
        <w:t>ersus las funciones de escritura relacional posibilitó:</w:t>
      </w:r>
    </w:p>
    <w:p w14:paraId="6BBAD5F4" w14:textId="77777777" w:rsidR="00BF7745" w:rsidRDefault="00BF7745" w:rsidP="00BF7745">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La invocación asíncrona ininterrumpida de validadores.</w:t>
      </w:r>
    </w:p>
    <w:p w14:paraId="79AEECBF" w14:textId="77777777" w:rsidR="00BF7745" w:rsidRDefault="00BF7745" w:rsidP="00BF7745">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La confirmación transaccional (</w:t>
      </w:r>
      <w:proofErr w:type="spellStart"/>
      <w:r>
        <w:rPr>
          <w:rFonts w:ascii="Calibri" w:eastAsia="Times New Roman" w:hAnsi="Calibri" w:cs="Calibri"/>
        </w:rPr>
        <w:t>COMMITs</w:t>
      </w:r>
      <w:proofErr w:type="spellEnd"/>
      <w:r>
        <w:rPr>
          <w:rFonts w:ascii="Calibri" w:eastAsia="Times New Roman" w:hAnsi="Calibri" w:cs="Calibri"/>
        </w:rPr>
        <w:t xml:space="preserve"> controlados) cada bloque de 1,000 registros, impidiendo desbordes en el espacio temporal de las bases de datos (</w:t>
      </w:r>
      <w:proofErr w:type="spellStart"/>
      <w:r>
        <w:rPr>
          <w:rFonts w:ascii="Calibri" w:eastAsia="Times New Roman" w:hAnsi="Calibri" w:cs="Calibri"/>
        </w:rPr>
        <w:t>Tablespaces</w:t>
      </w:r>
      <w:proofErr w:type="spellEnd"/>
      <w:r>
        <w:rPr>
          <w:rFonts w:ascii="Calibri" w:eastAsia="Times New Roman" w:hAnsi="Calibri" w:cs="Calibri"/>
        </w:rPr>
        <w:t xml:space="preserve"> temporales).</w:t>
      </w:r>
    </w:p>
    <w:p w14:paraId="46BD4602" w14:textId="77777777" w:rsidR="00BF7745" w:rsidRDefault="00BF7745">
      <w:pPr>
        <w:pStyle w:val="Ttulo2"/>
        <w:rPr>
          <w:rFonts w:ascii="Calibri" w:eastAsia="Times New Roman" w:hAnsi="Calibri" w:cs="Calibri"/>
        </w:rPr>
      </w:pPr>
      <w:r>
        <w:rPr>
          <w:rFonts w:ascii="Calibri" w:eastAsia="Times New Roman" w:hAnsi="Calibri" w:cs="Calibri"/>
        </w:rPr>
        <w:t>5. Próximos Pasos en el Ciclo ETL</w:t>
      </w:r>
    </w:p>
    <w:p w14:paraId="6633A6D9" w14:textId="77777777" w:rsidR="00BF7745" w:rsidRDefault="00BF7745" w:rsidP="00BF7745">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Parametrizar dinámicamente los esquemas de archivos (JSON/CSV) hacia el cierre de junio, consolidando la ingesta a partir de </w:t>
      </w:r>
      <w:proofErr w:type="spellStart"/>
      <w:r>
        <w:rPr>
          <w:rFonts w:ascii="Calibri" w:eastAsia="Times New Roman" w:hAnsi="Calibri" w:cs="Calibri"/>
        </w:rPr>
        <w:t>layouts</w:t>
      </w:r>
      <w:proofErr w:type="spellEnd"/>
      <w:r>
        <w:rPr>
          <w:rFonts w:ascii="Calibri" w:eastAsia="Times New Roman" w:hAnsi="Calibri" w:cs="Calibri"/>
        </w:rPr>
        <w:t xml:space="preserve"> unificados de exclusión y de atención médica procedentes de IMSS-Bienestar.</w:t>
      </w:r>
    </w:p>
    <w:p w14:paraId="6694B0CA" w14:textId="77777777" w:rsidR="00BF7745" w:rsidRDefault="00BF7745" w:rsidP="00BF7745">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Escalar la inserción *</w:t>
      </w:r>
      <w:proofErr w:type="spellStart"/>
      <w:r>
        <w:rPr>
          <w:rFonts w:ascii="Calibri" w:eastAsia="Times New Roman" w:hAnsi="Calibri" w:cs="Calibri"/>
        </w:rPr>
        <w:t>bulk</w:t>
      </w:r>
      <w:proofErr w:type="spellEnd"/>
      <w:r>
        <w:rPr>
          <w:rFonts w:ascii="Calibri" w:eastAsia="Times New Roman" w:hAnsi="Calibri" w:cs="Calibri"/>
        </w:rPr>
        <w:t>* utilizando la técnica *COPY* (pg8000) de PostgreSQL en lugar de múltiples sentencias *INSERT* aisladas, maximizando aún más la latencia de respuesta.</w:t>
      </w:r>
    </w:p>
    <w:p w14:paraId="3AFAF1FB" w14:textId="77777777" w:rsidR="00BF7745" w:rsidRDefault="00BF7745">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bookmarkEnd w:id="0"/>
    <w:bookmarkEnd w:id="1"/>
    <w:bookmarkEnd w:id="2"/>
    <w:p w14:paraId="5B04373B" w14:textId="77777777" w:rsidR="00BF7745" w:rsidRDefault="00BF7745" w:rsidP="00762984">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8. Sección de firmas</w:t>
      </w:r>
    </w:p>
    <w:p w14:paraId="488F7A54" w14:textId="4821FD6E" w:rsidR="00762984" w:rsidRPr="00F35958" w:rsidRDefault="00762984" w:rsidP="00762984">
      <w:pPr>
        <w:rPr>
          <w:rFonts w:asciiTheme="minorHAnsi" w:hAnsiTheme="minorHAnsi"/>
          <w:color w:val="auto"/>
        </w:rPr>
      </w:pPr>
    </w:p>
    <w:p w14:paraId="4354CA72" w14:textId="77777777" w:rsidR="00762984" w:rsidRPr="00F35958" w:rsidRDefault="00762984" w:rsidP="00762984">
      <w:pPr>
        <w:rPr>
          <w:rFonts w:ascii="Arial" w:hAnsi="Arial" w:cs="Arial"/>
          <w:color w:val="auto"/>
        </w:rPr>
      </w:pPr>
      <w:r w:rsidRPr="00F35958">
        <w:rPr>
          <w:rFonts w:ascii="Arial" w:hAnsi="Arial" w:cs="Arial"/>
          <w:color w:val="auto"/>
        </w:rPr>
        <w:t>Tras la revisión del documento,</w:t>
      </w:r>
      <w:r w:rsidRPr="00F35958">
        <w:rPr>
          <w:rFonts w:asciiTheme="minorHAnsi" w:hAnsiTheme="minorHAnsi"/>
          <w:color w:val="auto"/>
        </w:rPr>
        <w:t xml:space="preserve"> s</w:t>
      </w:r>
      <w:r w:rsidRPr="00F35958">
        <w:rPr>
          <w:rFonts w:ascii="Arial" w:hAnsi="Arial" w:cs="Arial"/>
          <w:color w:val="auto"/>
        </w:rPr>
        <w:t>e presentan las firmas de elaboración y aprobación:</w:t>
      </w:r>
    </w:p>
    <w:p w14:paraId="1BADAD35" w14:textId="77777777" w:rsidR="00B614EE" w:rsidRPr="00F35958" w:rsidRDefault="00B614EE" w:rsidP="003B7A12">
      <w:pPr>
        <w:spacing w:line="360" w:lineRule="auto"/>
        <w:rPr>
          <w:rFonts w:ascii="Montserrat" w:hAnsi="Montserrat"/>
          <w:sz w:val="24"/>
          <w:szCs w:val="24"/>
        </w:rPr>
      </w:pPr>
    </w:p>
    <w:p w14:paraId="0A2D1410" w14:textId="77777777" w:rsidR="00B614EE" w:rsidRPr="00F35958" w:rsidRDefault="00B614EE" w:rsidP="003B7A12">
      <w:pPr>
        <w:spacing w:line="360" w:lineRule="auto"/>
        <w:rPr>
          <w:rFonts w:ascii="Montserrat" w:hAnsi="Montserrat"/>
          <w:sz w:val="24"/>
          <w:szCs w:val="24"/>
        </w:rPr>
      </w:pPr>
    </w:p>
    <w:tbl>
      <w:tblPr>
        <w:tblStyle w:val="Tablaconcuadrcula"/>
        <w:tblW w:w="0" w:type="auto"/>
        <w:tblLook w:val="04A0" w:firstRow="1" w:lastRow="0" w:firstColumn="1" w:lastColumn="0" w:noHBand="0" w:noVBand="1"/>
      </w:tblPr>
      <w:tblGrid>
        <w:gridCol w:w="4719"/>
        <w:gridCol w:w="4631"/>
      </w:tblGrid>
      <w:tr w:rsidR="00C72784" w:rsidRPr="00F35958" w14:paraId="1DCD0059" w14:textId="77777777" w:rsidTr="00E41D98">
        <w:trPr>
          <w:trHeight w:val="1410"/>
        </w:trPr>
        <w:tc>
          <w:tcPr>
            <w:tcW w:w="4675" w:type="dxa"/>
          </w:tcPr>
          <w:p w14:paraId="39E4F0BD" w14:textId="77777777" w:rsidR="00C72784" w:rsidRPr="00F35958" w:rsidRDefault="00C72784" w:rsidP="003B7A12">
            <w:pPr>
              <w:spacing w:line="360" w:lineRule="auto"/>
              <w:rPr>
                <w:rFonts w:ascii="Montserrat" w:hAnsi="Montserrat"/>
                <w:sz w:val="24"/>
                <w:szCs w:val="24"/>
              </w:rPr>
            </w:pPr>
          </w:p>
        </w:tc>
        <w:tc>
          <w:tcPr>
            <w:tcW w:w="4675" w:type="dxa"/>
          </w:tcPr>
          <w:p w14:paraId="1EF450D0" w14:textId="77777777" w:rsidR="00C72784" w:rsidRPr="00F35958" w:rsidRDefault="00C72784" w:rsidP="003B7A12">
            <w:pPr>
              <w:spacing w:line="360" w:lineRule="auto"/>
              <w:rPr>
                <w:rFonts w:ascii="Montserrat" w:hAnsi="Montserrat"/>
                <w:sz w:val="24"/>
                <w:szCs w:val="24"/>
              </w:rPr>
            </w:pPr>
          </w:p>
        </w:tc>
      </w:tr>
      <w:tr w:rsidR="00C72784" w:rsidRPr="00F35958" w14:paraId="7D0815A2" w14:textId="77777777" w:rsidTr="00E41D98">
        <w:tc>
          <w:tcPr>
            <w:tcW w:w="4675" w:type="dxa"/>
          </w:tcPr>
          <w:p w14:paraId="5C93266E" w14:textId="38C4471D" w:rsidR="00C72784" w:rsidRPr="00F35958" w:rsidRDefault="003A3A97" w:rsidP="003B7A12">
            <w:pPr>
              <w:spacing w:line="360" w:lineRule="auto"/>
              <w:jc w:val="center"/>
              <w:rPr>
                <w:rFonts w:ascii="Montserrat" w:hAnsi="Montserrat"/>
                <w:sz w:val="24"/>
                <w:szCs w:val="24"/>
              </w:rPr>
            </w:pPr>
            <w:r w:rsidRPr="00F35958">
              <w:rPr>
                <w:rFonts w:ascii="Montserrat" w:hAnsi="Montserrat" w:cs="Noto Sans"/>
                <w:bCs/>
                <w:i/>
                <w:iCs/>
                <w:sz w:val="24"/>
                <w:szCs w:val="24"/>
              </w:rPr>
              <w:t xml:space="preserve">Victor </w:t>
            </w:r>
            <w:r w:rsidR="00055D65" w:rsidRPr="00F35958">
              <w:rPr>
                <w:rFonts w:ascii="Montserrat" w:hAnsi="Montserrat" w:cs="Noto Sans"/>
                <w:bCs/>
                <w:i/>
                <w:iCs/>
                <w:sz w:val="24"/>
                <w:szCs w:val="24"/>
              </w:rPr>
              <w:t>Lelo de Larrea Polanco</w:t>
            </w:r>
          </w:p>
        </w:tc>
        <w:tc>
          <w:tcPr>
            <w:tcW w:w="4675" w:type="dxa"/>
          </w:tcPr>
          <w:p w14:paraId="14362A79"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David León Gómez</w:t>
            </w:r>
          </w:p>
        </w:tc>
      </w:tr>
      <w:tr w:rsidR="00C72784" w:rsidRPr="00F35958" w14:paraId="4EFFA3A4" w14:textId="77777777" w:rsidTr="00E41D98">
        <w:tc>
          <w:tcPr>
            <w:tcW w:w="4675" w:type="dxa"/>
          </w:tcPr>
          <w:p w14:paraId="3A32D21A"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Jefatura de departamento</w:t>
            </w:r>
          </w:p>
        </w:tc>
        <w:tc>
          <w:tcPr>
            <w:tcW w:w="4675" w:type="dxa"/>
          </w:tcPr>
          <w:p w14:paraId="4AB2F8CD"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Subdirector de Área</w:t>
            </w:r>
          </w:p>
        </w:tc>
      </w:tr>
      <w:tr w:rsidR="00C72784" w:rsidRPr="00F35958" w14:paraId="18A22D1F" w14:textId="77777777" w:rsidTr="00E41D98">
        <w:tc>
          <w:tcPr>
            <w:tcW w:w="4675" w:type="dxa"/>
          </w:tcPr>
          <w:p w14:paraId="4035BC3F" w14:textId="6EF73872" w:rsidR="00C72784" w:rsidRPr="00F35958" w:rsidRDefault="000370F9" w:rsidP="003B7A12">
            <w:pPr>
              <w:spacing w:line="360" w:lineRule="auto"/>
              <w:jc w:val="center"/>
              <w:rPr>
                <w:rFonts w:ascii="Montserrat" w:hAnsi="Montserrat"/>
                <w:sz w:val="24"/>
                <w:szCs w:val="24"/>
              </w:rPr>
            </w:pPr>
            <w:r w:rsidRPr="00F35958">
              <w:rPr>
                <w:rFonts w:ascii="Montserrat" w:hAnsi="Montserrat" w:cs="Noto Sans"/>
                <w:bCs/>
                <w:i/>
                <w:sz w:val="24"/>
                <w:szCs w:val="24"/>
              </w:rPr>
              <w:t>v</w:t>
            </w:r>
            <w:r w:rsidR="00055D65" w:rsidRPr="00F35958">
              <w:rPr>
                <w:rFonts w:ascii="Montserrat" w:hAnsi="Montserrat" w:cs="Noto Sans"/>
                <w:bCs/>
                <w:i/>
                <w:sz w:val="24"/>
                <w:szCs w:val="24"/>
              </w:rPr>
              <w:t>ictor.lelodelarrea</w:t>
            </w:r>
            <w:r w:rsidR="00C72784" w:rsidRPr="00F35958">
              <w:rPr>
                <w:rFonts w:ascii="Montserrat" w:hAnsi="Montserrat" w:cs="Noto Sans"/>
                <w:bCs/>
                <w:i/>
                <w:sz w:val="24"/>
                <w:szCs w:val="24"/>
              </w:rPr>
              <w:t>@nube.sep.gob.mx</w:t>
            </w:r>
          </w:p>
        </w:tc>
        <w:tc>
          <w:tcPr>
            <w:tcW w:w="4675" w:type="dxa"/>
          </w:tcPr>
          <w:p w14:paraId="6883856A"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david.leon@nube.sep.gob.mx</w:t>
            </w:r>
          </w:p>
        </w:tc>
      </w:tr>
      <w:tr w:rsidR="00C72784" w:rsidRPr="00F35958" w14:paraId="0E84DC51" w14:textId="77777777" w:rsidTr="00E41D98">
        <w:tc>
          <w:tcPr>
            <w:tcW w:w="4675" w:type="dxa"/>
          </w:tcPr>
          <w:p w14:paraId="20A9AA2C" w14:textId="77777777" w:rsidR="00C72784" w:rsidRPr="00F35958" w:rsidRDefault="00C72784" w:rsidP="003B7A12">
            <w:pPr>
              <w:spacing w:line="360" w:lineRule="auto"/>
              <w:jc w:val="center"/>
              <w:rPr>
                <w:rFonts w:ascii="Montserrat" w:hAnsi="Montserrat"/>
                <w:sz w:val="24"/>
                <w:szCs w:val="24"/>
              </w:rPr>
            </w:pPr>
          </w:p>
        </w:tc>
        <w:tc>
          <w:tcPr>
            <w:tcW w:w="4675" w:type="dxa"/>
          </w:tcPr>
          <w:p w14:paraId="27F21E65"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55917</w:t>
            </w:r>
          </w:p>
        </w:tc>
      </w:tr>
      <w:tr w:rsidR="00C72784" w:rsidRPr="00F35958" w14:paraId="7419E76D" w14:textId="77777777" w:rsidTr="00E41D98">
        <w:trPr>
          <w:trHeight w:val="382"/>
        </w:trPr>
        <w:tc>
          <w:tcPr>
            <w:tcW w:w="4675" w:type="dxa"/>
          </w:tcPr>
          <w:p w14:paraId="1A04B7D1"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
                <w:sz w:val="24"/>
                <w:szCs w:val="24"/>
              </w:rPr>
              <w:t>ELABORÓ</w:t>
            </w:r>
          </w:p>
        </w:tc>
        <w:tc>
          <w:tcPr>
            <w:tcW w:w="4675" w:type="dxa"/>
          </w:tcPr>
          <w:p w14:paraId="420C7CBB"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
                <w:sz w:val="24"/>
                <w:szCs w:val="24"/>
              </w:rPr>
              <w:t>REVI</w:t>
            </w:r>
            <w:r w:rsidRPr="00F35958">
              <w:rPr>
                <w:rFonts w:ascii="Montserrat" w:hAnsi="Montserrat" w:cs="Noto Sans"/>
                <w:b/>
                <w:sz w:val="24"/>
                <w:szCs w:val="24"/>
              </w:rPr>
              <w:lastRenderedPageBreak/>
              <w:t>SÓ</w:t>
            </w:r>
          </w:p>
        </w:tc>
      </w:tr>
    </w:tbl>
    <w:p w14:paraId="4D1E6F4D" w14:textId="77777777" w:rsidR="00281FCA" w:rsidRPr="003B7A12" w:rsidRDefault="00281FCA" w:rsidP="003B7A12">
      <w:pPr>
        <w:spacing w:line="360" w:lineRule="auto"/>
        <w:rPr>
          <w:rFonts w:ascii="Montserrat" w:hAnsi="Montserrat"/>
          <w:sz w:val="24"/>
          <w:szCs w:val="24"/>
        </w:rPr>
      </w:pPr>
    </w:p>
    <w:sectPr w:rsidR="00281FCA" w:rsidRPr="003B7A12" w:rsidSect="007F0EDD">
      <w:headerReference w:type="default" r:id="rId8"/>
      <w:footerReference w:type="default" r:id="rId9"/>
      <w:pgSz w:w="12240" w:h="15840"/>
      <w:pgMar w:top="2268" w:right="1440" w:bottom="2269"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54169" w14:textId="77777777" w:rsidR="00A60F5C" w:rsidRPr="00F35958" w:rsidRDefault="00A60F5C" w:rsidP="00997E2E">
      <w:r w:rsidRPr="00F35958">
        <w:separator/>
      </w:r>
    </w:p>
  </w:endnote>
  <w:endnote w:type="continuationSeparator" w:id="0">
    <w:p w14:paraId="542D7088" w14:textId="77777777" w:rsidR="00A60F5C" w:rsidRPr="00F35958" w:rsidRDefault="00A60F5C" w:rsidP="00997E2E">
      <w:r w:rsidRPr="00F359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Courier">
    <w:panose1 w:val="02070409020205020404"/>
    <w:charset w:val="00"/>
    <w:family w:val="auto"/>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323D" w14:textId="14FB6C4A" w:rsidR="00997E2E" w:rsidRPr="00F35958" w:rsidRDefault="007B7E00" w:rsidP="007F0EDD">
    <w:pPr>
      <w:pStyle w:val="Encabezado"/>
      <w:ind w:right="474"/>
      <w:rPr>
        <w:rFonts w:ascii="Noto Sans" w:hAnsi="Noto Sans" w:cs="Noto Sans"/>
        <w:sz w:val="18"/>
        <w:szCs w:val="18"/>
      </w:rPr>
    </w:pPr>
    <w:bookmarkStart w:id="3" w:name="_Hlk195261366"/>
    <w:bookmarkStart w:id="4" w:name="_Hlk195261367"/>
    <w:r w:rsidRPr="00F35958">
      <w:rPr>
        <w:rFonts w:ascii="Noto Sans" w:hAnsi="Noto Sans" w:cs="Noto Sans"/>
        <w:sz w:val="18"/>
        <w:szCs w:val="18"/>
      </w:rPr>
      <w:t xml:space="preserve">Página </w:t>
    </w:r>
    <w:r w:rsidRPr="00F35958">
      <w:rPr>
        <w:rFonts w:ascii="Noto Sans" w:hAnsi="Noto Sans" w:cs="Noto Sans"/>
        <w:b/>
        <w:bCs/>
        <w:sz w:val="18"/>
        <w:szCs w:val="18"/>
      </w:rPr>
      <w:fldChar w:fldCharType="begin"/>
    </w:r>
    <w:r w:rsidRPr="00F35958">
      <w:rPr>
        <w:rFonts w:ascii="Noto Sans" w:hAnsi="Noto Sans" w:cs="Noto Sans"/>
        <w:b/>
        <w:bCs/>
        <w:sz w:val="18"/>
        <w:szCs w:val="18"/>
      </w:rPr>
      <w:instrText>PAGE  \* Arabic  \* MERGEFORMAT</w:instrText>
    </w:r>
    <w:r w:rsidRPr="00F35958">
      <w:rPr>
        <w:rFonts w:ascii="Noto Sans" w:hAnsi="Noto Sans" w:cs="Noto Sans"/>
        <w:b/>
        <w:bCs/>
        <w:sz w:val="18"/>
        <w:szCs w:val="18"/>
      </w:rPr>
      <w:fldChar w:fldCharType="separate"/>
    </w:r>
    <w:r w:rsidRPr="00F35958">
      <w:rPr>
        <w:rFonts w:ascii="Noto Sans" w:hAnsi="Noto Sans" w:cs="Noto Sans"/>
        <w:b/>
        <w:bCs/>
        <w:sz w:val="18"/>
        <w:szCs w:val="18"/>
      </w:rPr>
      <w:t>1</w:t>
    </w:r>
    <w:r w:rsidRPr="00F35958">
      <w:rPr>
        <w:rFonts w:ascii="Noto Sans" w:hAnsi="Noto Sans" w:cs="Noto Sans"/>
        <w:b/>
        <w:bCs/>
        <w:sz w:val="18"/>
        <w:szCs w:val="18"/>
      </w:rPr>
      <w:fldChar w:fldCharType="end"/>
    </w:r>
    <w:r w:rsidRPr="00F35958">
      <w:rPr>
        <w:rFonts w:ascii="Noto Sans" w:hAnsi="Noto Sans" w:cs="Noto Sans"/>
        <w:sz w:val="18"/>
        <w:szCs w:val="18"/>
      </w:rPr>
      <w:t xml:space="preserve"> de </w:t>
    </w:r>
    <w:r w:rsidRPr="00F35958">
      <w:rPr>
        <w:rFonts w:ascii="Noto Sans" w:hAnsi="Noto Sans" w:cs="Noto Sans"/>
        <w:b/>
        <w:bCs/>
        <w:sz w:val="18"/>
        <w:szCs w:val="18"/>
      </w:rPr>
      <w:fldChar w:fldCharType="begin"/>
    </w:r>
    <w:r w:rsidRPr="00F35958">
      <w:rPr>
        <w:rFonts w:ascii="Noto Sans" w:hAnsi="Noto Sans" w:cs="Noto Sans"/>
        <w:b/>
        <w:bCs/>
        <w:sz w:val="18"/>
        <w:szCs w:val="18"/>
      </w:rPr>
      <w:instrText>NUMPAGES  \* Arabic  \* MERGEFORMAT</w:instrText>
    </w:r>
    <w:r w:rsidRPr="00F35958">
      <w:rPr>
        <w:rFonts w:ascii="Noto Sans" w:hAnsi="Noto Sans" w:cs="Noto Sans"/>
        <w:b/>
        <w:bCs/>
        <w:sz w:val="18"/>
        <w:szCs w:val="18"/>
      </w:rPr>
      <w:fldChar w:fldCharType="separate"/>
    </w:r>
    <w:r w:rsidRPr="00F35958">
      <w:rPr>
        <w:rFonts w:ascii="Noto Sans" w:hAnsi="Noto Sans" w:cs="Noto Sans"/>
        <w:b/>
        <w:bCs/>
        <w:sz w:val="18"/>
        <w:szCs w:val="18"/>
      </w:rPr>
      <w:t>2</w:t>
    </w:r>
    <w:r w:rsidRPr="00F35958">
      <w:rPr>
        <w:rFonts w:ascii="Noto Sans" w:hAnsi="Noto Sans" w:cs="Noto Sans"/>
        <w:b/>
        <w:bCs/>
        <w:sz w:val="18"/>
        <w:szCs w:val="18"/>
      </w:rPr>
      <w:fldChar w:fldCharType="end"/>
    </w:r>
    <w:r w:rsidR="00997E2E" w:rsidRPr="00F35958">
      <w:rPr>
        <w:rFonts w:ascii="Noto Sans" w:hAnsi="Noto Sans" w:cs="Noto Sans"/>
        <w:noProof/>
        <w:sz w:val="18"/>
        <w:szCs w:val="18"/>
      </w:rPr>
      <w:drawing>
        <wp:anchor distT="0" distB="0" distL="114300" distR="114300" simplePos="0" relativeHeight="251659776" behindDoc="1" locked="0" layoutInCell="1" allowOverlap="1" wp14:anchorId="7AF39D1A" wp14:editId="5FCF7196">
          <wp:simplePos x="0" y="0"/>
          <wp:positionH relativeFrom="column">
            <wp:posOffset>-948055</wp:posOffset>
          </wp:positionH>
          <wp:positionV relativeFrom="paragraph">
            <wp:posOffset>-254635</wp:posOffset>
          </wp:positionV>
          <wp:extent cx="7838208" cy="1421437"/>
          <wp:effectExtent l="0" t="0" r="0" b="7620"/>
          <wp:wrapNone/>
          <wp:docPr id="211865806" name="Imagen 2"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8927" name="Imagen 2" descr="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8208" cy="14214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FFF8C" w14:textId="77777777" w:rsidR="00997E2E" w:rsidRPr="00F35958" w:rsidRDefault="00997E2E" w:rsidP="00997E2E">
    <w:pPr>
      <w:pStyle w:val="Encabezado"/>
      <w:ind w:right="474"/>
      <w:jc w:val="right"/>
      <w:rPr>
        <w:rFonts w:ascii="Noto Sans" w:hAnsi="Noto Sans" w:cs="Noto Sans"/>
        <w:sz w:val="18"/>
        <w:szCs w:val="18"/>
      </w:rPr>
    </w:pPr>
  </w:p>
  <w:p w14:paraId="3D3E01B5" w14:textId="06503723"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Unidad de Administración y Finanzas</w:t>
    </w:r>
    <w:r w:rsidRPr="00F35958">
      <w:rPr>
        <w:rFonts w:ascii="Noto Sans" w:hAnsi="Noto Sans" w:cs="Noto Sans"/>
        <w:sz w:val="18"/>
        <w:szCs w:val="18"/>
      </w:rPr>
      <w:tab/>
    </w:r>
  </w:p>
  <w:p w14:paraId="0ED43F25" w14:textId="253CB4DD"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Dirección General de Tecnologías de</w:t>
    </w:r>
    <w:r w:rsidRPr="00F35958">
      <w:rPr>
        <w:rFonts w:ascii="Noto Sans" w:hAnsi="Noto Sans" w:cs="Noto Sans"/>
        <w:sz w:val="18"/>
        <w:szCs w:val="18"/>
      </w:rPr>
      <w:tab/>
      <w:t xml:space="preserve"> </w:t>
    </w:r>
  </w:p>
  <w:p w14:paraId="7F871F5E" w14:textId="224A0ED0"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la Información y Comunicaciones</w:t>
    </w:r>
    <w:r w:rsidRPr="00F35958">
      <w:rPr>
        <w:rFonts w:ascii="Noto Sans" w:hAnsi="Noto Sans" w:cs="Noto Sans"/>
        <w:sz w:val="18"/>
        <w:szCs w:val="18"/>
      </w:rPr>
      <w:tab/>
    </w:r>
  </w:p>
  <w:bookmarkEnd w:id="3"/>
  <w:bookmarkEnd w:id="4"/>
  <w:p w14:paraId="7DCB4A70" w14:textId="77777777" w:rsidR="00997E2E" w:rsidRPr="00F35958" w:rsidRDefault="00997E2E" w:rsidP="00997E2E">
    <w:pPr>
      <w:pStyle w:val="Encabezado"/>
      <w:ind w:right="474"/>
      <w:jc w:val="right"/>
    </w:pPr>
  </w:p>
  <w:p w14:paraId="370C7DA8" w14:textId="7BBD45B3" w:rsidR="00E42075" w:rsidRPr="00F35958" w:rsidRDefault="00E42075" w:rsidP="00997E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CB28C" w14:textId="77777777" w:rsidR="00A60F5C" w:rsidRPr="00F35958" w:rsidRDefault="00A60F5C" w:rsidP="00997E2E">
      <w:r w:rsidRPr="00F35958">
        <w:separator/>
      </w:r>
    </w:p>
  </w:footnote>
  <w:footnote w:type="continuationSeparator" w:id="0">
    <w:p w14:paraId="1D56C313" w14:textId="77777777" w:rsidR="00A60F5C" w:rsidRPr="00F35958" w:rsidRDefault="00A60F5C" w:rsidP="00997E2E">
      <w:r w:rsidRPr="00F359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FA5C" w14:textId="77777777" w:rsidR="00997E2E" w:rsidRPr="00F35958" w:rsidRDefault="00997E2E" w:rsidP="00997E2E">
    <w:pPr>
      <w:pStyle w:val="Encabezado"/>
    </w:pPr>
    <w:r w:rsidRPr="00F35958">
      <w:rPr>
        <w:noProof/>
      </w:rPr>
      <w:drawing>
        <wp:anchor distT="0" distB="0" distL="114300" distR="114300" simplePos="0" relativeHeight="251657728" behindDoc="1" locked="0" layoutInCell="1" allowOverlap="1" wp14:anchorId="7FF4A81D" wp14:editId="7838572A">
          <wp:simplePos x="0" y="0"/>
          <wp:positionH relativeFrom="column">
            <wp:posOffset>-1200150</wp:posOffset>
          </wp:positionH>
          <wp:positionV relativeFrom="paragraph">
            <wp:posOffset>-457201</wp:posOffset>
          </wp:positionV>
          <wp:extent cx="8141154" cy="1476375"/>
          <wp:effectExtent l="0" t="0" r="0" b="0"/>
          <wp:wrapNone/>
          <wp:docPr id="541353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6110" cy="149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7A3B8" w14:textId="751E94E5" w:rsidR="00997E2E" w:rsidRPr="00F35958" w:rsidRDefault="00997E2E" w:rsidP="00997E2E">
    <w:pPr>
      <w:pStyle w:val="Encabezado"/>
      <w:jc w:val="right"/>
    </w:pPr>
    <w:r w:rsidRPr="00F35958">
      <w:t>Unidad de Administración y Finanzas</w:t>
    </w:r>
    <w:r w:rsidRPr="00F35958">
      <w:tab/>
    </w:r>
  </w:p>
  <w:p w14:paraId="7E408CE7" w14:textId="31431E63" w:rsidR="00997E2E" w:rsidRPr="00F35958" w:rsidRDefault="00997E2E" w:rsidP="00997E2E">
    <w:pPr>
      <w:pStyle w:val="Encabezado"/>
      <w:jc w:val="right"/>
    </w:pPr>
    <w:r w:rsidRPr="00F35958">
      <w:t>Dirección General de Tecnologías de</w:t>
    </w:r>
    <w:r w:rsidRPr="00F35958">
      <w:tab/>
      <w:t xml:space="preserve"> </w:t>
    </w:r>
  </w:p>
  <w:p w14:paraId="0D6A6991" w14:textId="76F185EB" w:rsidR="00997E2E" w:rsidRPr="00F35958" w:rsidRDefault="00997E2E" w:rsidP="00997E2E">
    <w:pPr>
      <w:pStyle w:val="Encabezado"/>
      <w:jc w:val="right"/>
    </w:pPr>
    <w:r w:rsidRPr="00F35958">
      <w:t>la Información y Comunicaciones</w:t>
    </w:r>
    <w:r w:rsidRPr="00F35958">
      <w:tab/>
    </w:r>
  </w:p>
  <w:p w14:paraId="466085AA" w14:textId="77777777" w:rsidR="00997E2E" w:rsidRPr="00F35958" w:rsidRDefault="00997E2E" w:rsidP="00997E2E">
    <w:pPr>
      <w:pStyle w:val="Encabezado"/>
    </w:pPr>
  </w:p>
  <w:p w14:paraId="57844811" w14:textId="77777777" w:rsidR="00997E2E" w:rsidRPr="00F35958" w:rsidRDefault="00997E2E" w:rsidP="00997E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6"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7" w15:restartNumberingAfterBreak="0">
    <w:nsid w:val="02CA2BA5"/>
    <w:multiLevelType w:val="multilevel"/>
    <w:tmpl w:val="0DEC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223EA"/>
    <w:multiLevelType w:val="multilevel"/>
    <w:tmpl w:val="DCA6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24D95"/>
    <w:multiLevelType w:val="hybridMultilevel"/>
    <w:tmpl w:val="0EDC7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5DA0B25"/>
    <w:multiLevelType w:val="multilevel"/>
    <w:tmpl w:val="53C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F771F"/>
    <w:multiLevelType w:val="hybridMultilevel"/>
    <w:tmpl w:val="660C7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FF4105E"/>
    <w:multiLevelType w:val="multilevel"/>
    <w:tmpl w:val="A538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74056"/>
    <w:multiLevelType w:val="hybridMultilevel"/>
    <w:tmpl w:val="F8E884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3C20551"/>
    <w:multiLevelType w:val="hybridMultilevel"/>
    <w:tmpl w:val="9EBC21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B4E6E99"/>
    <w:multiLevelType w:val="multilevel"/>
    <w:tmpl w:val="81E6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56F2F"/>
    <w:multiLevelType w:val="multilevel"/>
    <w:tmpl w:val="505A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97777">
    <w:abstractNumId w:val="6"/>
  </w:num>
  <w:num w:numId="2" w16cid:durableId="2103646062">
    <w:abstractNumId w:val="4"/>
  </w:num>
  <w:num w:numId="3" w16cid:durableId="441605867">
    <w:abstractNumId w:val="3"/>
  </w:num>
  <w:num w:numId="4" w16cid:durableId="1048606953">
    <w:abstractNumId w:val="5"/>
  </w:num>
  <w:num w:numId="5" w16cid:durableId="658462606">
    <w:abstractNumId w:val="1"/>
  </w:num>
  <w:num w:numId="6" w16cid:durableId="1449011546">
    <w:abstractNumId w:val="0"/>
  </w:num>
  <w:num w:numId="7" w16cid:durableId="767509364">
    <w:abstractNumId w:val="13"/>
  </w:num>
  <w:num w:numId="8" w16cid:durableId="1187519976">
    <w:abstractNumId w:val="9"/>
  </w:num>
  <w:num w:numId="9" w16cid:durableId="774518276">
    <w:abstractNumId w:val="7"/>
  </w:num>
  <w:num w:numId="10" w16cid:durableId="2009867063">
    <w:abstractNumId w:val="11"/>
  </w:num>
  <w:num w:numId="11" w16cid:durableId="1924602666">
    <w:abstractNumId w:val="14"/>
  </w:num>
  <w:num w:numId="12" w16cid:durableId="2021344936">
    <w:abstractNumId w:val="2"/>
  </w:num>
  <w:num w:numId="13" w16cid:durableId="989212467">
    <w:abstractNumId w:val="12"/>
  </w:num>
  <w:num w:numId="14" w16cid:durableId="910316319">
    <w:abstractNumId w:val="16"/>
  </w:num>
  <w:num w:numId="15" w16cid:durableId="125122306">
    <w:abstractNumId w:val="10"/>
  </w:num>
  <w:num w:numId="16" w16cid:durableId="579021325">
    <w:abstractNumId w:val="8"/>
  </w:num>
  <w:num w:numId="17" w16cid:durableId="1511867385">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2C"/>
    <w:rsid w:val="000110DF"/>
    <w:rsid w:val="000179EB"/>
    <w:rsid w:val="00031BE0"/>
    <w:rsid w:val="00034616"/>
    <w:rsid w:val="000370F9"/>
    <w:rsid w:val="00055D65"/>
    <w:rsid w:val="00057AD0"/>
    <w:rsid w:val="0006063C"/>
    <w:rsid w:val="00083F2C"/>
    <w:rsid w:val="00084C49"/>
    <w:rsid w:val="00090885"/>
    <w:rsid w:val="000B17D6"/>
    <w:rsid w:val="000C6807"/>
    <w:rsid w:val="000E2A85"/>
    <w:rsid w:val="000E4F7B"/>
    <w:rsid w:val="000E5C6E"/>
    <w:rsid w:val="0011731C"/>
    <w:rsid w:val="00134559"/>
    <w:rsid w:val="001427DC"/>
    <w:rsid w:val="0015074B"/>
    <w:rsid w:val="00157EAF"/>
    <w:rsid w:val="00170CE1"/>
    <w:rsid w:val="00172EBA"/>
    <w:rsid w:val="00176EC1"/>
    <w:rsid w:val="001A3E81"/>
    <w:rsid w:val="001C128F"/>
    <w:rsid w:val="001D1407"/>
    <w:rsid w:val="001E4A8B"/>
    <w:rsid w:val="001E5D67"/>
    <w:rsid w:val="001F6D0E"/>
    <w:rsid w:val="00204D8B"/>
    <w:rsid w:val="00212A0E"/>
    <w:rsid w:val="0021558B"/>
    <w:rsid w:val="00217143"/>
    <w:rsid w:val="00220BDA"/>
    <w:rsid w:val="0023360F"/>
    <w:rsid w:val="002473BE"/>
    <w:rsid w:val="002556C5"/>
    <w:rsid w:val="00263A75"/>
    <w:rsid w:val="0027514D"/>
    <w:rsid w:val="00281FC3"/>
    <w:rsid w:val="00281FCA"/>
    <w:rsid w:val="0029639D"/>
    <w:rsid w:val="002B281F"/>
    <w:rsid w:val="002C3587"/>
    <w:rsid w:val="002C5C4E"/>
    <w:rsid w:val="003067C9"/>
    <w:rsid w:val="00310D52"/>
    <w:rsid w:val="00322ECA"/>
    <w:rsid w:val="0032551C"/>
    <w:rsid w:val="00326D19"/>
    <w:rsid w:val="00326F90"/>
    <w:rsid w:val="0034341D"/>
    <w:rsid w:val="00362670"/>
    <w:rsid w:val="00364FFA"/>
    <w:rsid w:val="003900CC"/>
    <w:rsid w:val="0039521E"/>
    <w:rsid w:val="003A02A7"/>
    <w:rsid w:val="003A3A97"/>
    <w:rsid w:val="003A5DB2"/>
    <w:rsid w:val="003B5DF2"/>
    <w:rsid w:val="003B7A12"/>
    <w:rsid w:val="003B7DEA"/>
    <w:rsid w:val="003C7FA1"/>
    <w:rsid w:val="003D0174"/>
    <w:rsid w:val="003F7817"/>
    <w:rsid w:val="00413D31"/>
    <w:rsid w:val="00440931"/>
    <w:rsid w:val="0045232B"/>
    <w:rsid w:val="00460181"/>
    <w:rsid w:val="00474EE0"/>
    <w:rsid w:val="00477234"/>
    <w:rsid w:val="004806E4"/>
    <w:rsid w:val="00490C87"/>
    <w:rsid w:val="0049360B"/>
    <w:rsid w:val="004A577B"/>
    <w:rsid w:val="004C19FB"/>
    <w:rsid w:val="004D2F30"/>
    <w:rsid w:val="004D6556"/>
    <w:rsid w:val="004F3533"/>
    <w:rsid w:val="004F6419"/>
    <w:rsid w:val="005014CD"/>
    <w:rsid w:val="00504757"/>
    <w:rsid w:val="00517CFC"/>
    <w:rsid w:val="00530CC9"/>
    <w:rsid w:val="00543F0E"/>
    <w:rsid w:val="00547C5E"/>
    <w:rsid w:val="00555191"/>
    <w:rsid w:val="0057038B"/>
    <w:rsid w:val="005D1431"/>
    <w:rsid w:val="005E7D6D"/>
    <w:rsid w:val="005F77E9"/>
    <w:rsid w:val="00606958"/>
    <w:rsid w:val="00614DF1"/>
    <w:rsid w:val="00635402"/>
    <w:rsid w:val="00643CB0"/>
    <w:rsid w:val="0065130E"/>
    <w:rsid w:val="006608CE"/>
    <w:rsid w:val="00666323"/>
    <w:rsid w:val="00671768"/>
    <w:rsid w:val="00673450"/>
    <w:rsid w:val="006942DE"/>
    <w:rsid w:val="006B5472"/>
    <w:rsid w:val="006E2512"/>
    <w:rsid w:val="006F366F"/>
    <w:rsid w:val="007138C2"/>
    <w:rsid w:val="00714169"/>
    <w:rsid w:val="007458C1"/>
    <w:rsid w:val="00762984"/>
    <w:rsid w:val="00771C23"/>
    <w:rsid w:val="007B52C0"/>
    <w:rsid w:val="007B7E00"/>
    <w:rsid w:val="007C3C28"/>
    <w:rsid w:val="007C519E"/>
    <w:rsid w:val="007C6CE5"/>
    <w:rsid w:val="007D2105"/>
    <w:rsid w:val="007D3EBE"/>
    <w:rsid w:val="007D76F8"/>
    <w:rsid w:val="007D7B44"/>
    <w:rsid w:val="007F0EDD"/>
    <w:rsid w:val="007F200C"/>
    <w:rsid w:val="007F53AE"/>
    <w:rsid w:val="00802FD5"/>
    <w:rsid w:val="00815657"/>
    <w:rsid w:val="008170A1"/>
    <w:rsid w:val="008529AB"/>
    <w:rsid w:val="0085498B"/>
    <w:rsid w:val="00863E93"/>
    <w:rsid w:val="008916FA"/>
    <w:rsid w:val="008957C6"/>
    <w:rsid w:val="008C1640"/>
    <w:rsid w:val="0090295F"/>
    <w:rsid w:val="00907CAD"/>
    <w:rsid w:val="00941C93"/>
    <w:rsid w:val="00974196"/>
    <w:rsid w:val="00977E0D"/>
    <w:rsid w:val="0098514F"/>
    <w:rsid w:val="009915B2"/>
    <w:rsid w:val="0099483E"/>
    <w:rsid w:val="00997E2E"/>
    <w:rsid w:val="009A0624"/>
    <w:rsid w:val="009B4888"/>
    <w:rsid w:val="00A149CB"/>
    <w:rsid w:val="00A276F6"/>
    <w:rsid w:val="00A46355"/>
    <w:rsid w:val="00A60F5C"/>
    <w:rsid w:val="00A96A40"/>
    <w:rsid w:val="00AA1D8D"/>
    <w:rsid w:val="00AC51FC"/>
    <w:rsid w:val="00AD19C4"/>
    <w:rsid w:val="00B22EB7"/>
    <w:rsid w:val="00B474BE"/>
    <w:rsid w:val="00B47730"/>
    <w:rsid w:val="00B54250"/>
    <w:rsid w:val="00B614EE"/>
    <w:rsid w:val="00B64A2E"/>
    <w:rsid w:val="00B71DB1"/>
    <w:rsid w:val="00B72F19"/>
    <w:rsid w:val="00B76CBE"/>
    <w:rsid w:val="00B94D44"/>
    <w:rsid w:val="00BA21C1"/>
    <w:rsid w:val="00BA4457"/>
    <w:rsid w:val="00BB7754"/>
    <w:rsid w:val="00BF1A0A"/>
    <w:rsid w:val="00BF3A0D"/>
    <w:rsid w:val="00BF7745"/>
    <w:rsid w:val="00C023B4"/>
    <w:rsid w:val="00C043D9"/>
    <w:rsid w:val="00C52C1F"/>
    <w:rsid w:val="00C5797C"/>
    <w:rsid w:val="00C627A4"/>
    <w:rsid w:val="00C6492A"/>
    <w:rsid w:val="00C663DF"/>
    <w:rsid w:val="00C72784"/>
    <w:rsid w:val="00CB0664"/>
    <w:rsid w:val="00CE3CE1"/>
    <w:rsid w:val="00CF5767"/>
    <w:rsid w:val="00D010F1"/>
    <w:rsid w:val="00D15D18"/>
    <w:rsid w:val="00D27B0B"/>
    <w:rsid w:val="00D3559E"/>
    <w:rsid w:val="00D62385"/>
    <w:rsid w:val="00D65F24"/>
    <w:rsid w:val="00D94679"/>
    <w:rsid w:val="00DD799D"/>
    <w:rsid w:val="00E42075"/>
    <w:rsid w:val="00E5048C"/>
    <w:rsid w:val="00E60372"/>
    <w:rsid w:val="00E71416"/>
    <w:rsid w:val="00EA0966"/>
    <w:rsid w:val="00EC77A7"/>
    <w:rsid w:val="00EE6865"/>
    <w:rsid w:val="00EE6F82"/>
    <w:rsid w:val="00F038E0"/>
    <w:rsid w:val="00F10FB7"/>
    <w:rsid w:val="00F35958"/>
    <w:rsid w:val="00F46663"/>
    <w:rsid w:val="00F51697"/>
    <w:rsid w:val="00F67D4A"/>
    <w:rsid w:val="00FC693F"/>
    <w:rsid w:val="00FD4911"/>
    <w:rsid w:val="00FE41BC"/>
    <w:rsid w:val="03B69A47"/>
    <w:rsid w:val="04C756C6"/>
    <w:rsid w:val="1121F291"/>
    <w:rsid w:val="26CC5551"/>
    <w:rsid w:val="42B14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42969"/>
  <w14:defaultImageDpi w14:val="330"/>
  <w15:docId w15:val="{B4292754-20B5-42DC-B4AF-B7BC7ABB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2E"/>
    <w:rPr>
      <w:rFonts w:ascii="Open Sans" w:hAnsi="Open Sans"/>
      <w:color w:val="545454"/>
      <w:lang w:val="es-MX"/>
    </w:rPr>
  </w:style>
  <w:style w:type="paragraph" w:styleId="Ttulo1">
    <w:name w:val="heading 1"/>
    <w:basedOn w:val="Normal"/>
    <w:next w:val="Normal"/>
    <w:link w:val="Ttulo1Car"/>
    <w:uiPriority w:val="9"/>
    <w:qFormat/>
    <w:rsid w:val="00176EC1"/>
    <w:pPr>
      <w:outlineLvl w:val="0"/>
    </w:pPr>
    <w:rPr>
      <w:b/>
      <w:color w:val="9F2241"/>
    </w:rPr>
  </w:style>
  <w:style w:type="paragraph" w:styleId="Ttulo2">
    <w:name w:val="heading 2"/>
    <w:basedOn w:val="Normal"/>
    <w:next w:val="Normal"/>
    <w:link w:val="Ttulo2Car"/>
    <w:uiPriority w:val="9"/>
    <w:unhideWhenUsed/>
    <w:qFormat/>
    <w:rsid w:val="00997E2E"/>
    <w:pPr>
      <w:outlineLvl w:val="1"/>
    </w:pPr>
    <w:rPr>
      <w:b/>
      <w:bCs/>
      <w:color w:val="9F2241"/>
      <w:sz w:val="24"/>
      <w:szCs w:val="24"/>
    </w:rPr>
  </w:style>
  <w:style w:type="paragraph" w:styleId="Ttulo3">
    <w:name w:val="heading 3"/>
    <w:basedOn w:val="Normal"/>
    <w:next w:val="Normal"/>
    <w:link w:val="Ttulo3Car"/>
    <w:uiPriority w:val="9"/>
    <w:unhideWhenUsed/>
    <w:qFormat/>
    <w:rsid w:val="007F0EDD"/>
    <w:pPr>
      <w:outlineLvl w:val="2"/>
    </w:pPr>
    <w:rPr>
      <w:b/>
      <w:bCs/>
      <w:color w:val="9F224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76EC1"/>
    <w:rPr>
      <w:rFonts w:ascii="Open Sans" w:hAnsi="Open Sans"/>
      <w:b/>
      <w:color w:val="9F2241"/>
    </w:rPr>
  </w:style>
  <w:style w:type="character" w:customStyle="1" w:styleId="Ttulo2Car">
    <w:name w:val="Título 2 Car"/>
    <w:basedOn w:val="Fuentedeprrafopredeter"/>
    <w:link w:val="Ttulo2"/>
    <w:uiPriority w:val="9"/>
    <w:rsid w:val="00997E2E"/>
    <w:rPr>
      <w:rFonts w:ascii="Open Sans" w:hAnsi="Open Sans"/>
      <w:b/>
      <w:bCs/>
      <w:color w:val="9F2241"/>
      <w:sz w:val="24"/>
      <w:szCs w:val="24"/>
    </w:rPr>
  </w:style>
  <w:style w:type="character" w:customStyle="1" w:styleId="Ttulo3Car">
    <w:name w:val="Título 3 Car"/>
    <w:basedOn w:val="Fuentedeprrafopredeter"/>
    <w:link w:val="Ttulo3"/>
    <w:uiPriority w:val="9"/>
    <w:rsid w:val="007F0EDD"/>
    <w:rPr>
      <w:rFonts w:ascii="Open Sans" w:hAnsi="Open Sans"/>
      <w:b/>
      <w:bCs/>
      <w:color w:val="9F2241"/>
    </w:rPr>
  </w:style>
  <w:style w:type="paragraph" w:styleId="Ttulo">
    <w:name w:val="Title"/>
    <w:basedOn w:val="Encabezado"/>
    <w:next w:val="Normal"/>
    <w:link w:val="TtuloCar"/>
    <w:uiPriority w:val="10"/>
    <w:qFormat/>
    <w:rsid w:val="00217143"/>
    <w:pPr>
      <w:spacing w:before="120" w:after="300"/>
      <w:jc w:val="center"/>
    </w:pPr>
    <w:rPr>
      <w:rFonts w:ascii="Montserrat" w:hAnsi="Montserrat"/>
      <w:b/>
      <w:color w:val="9F2241"/>
      <w:sz w:val="32"/>
      <w:szCs w:val="32"/>
    </w:rPr>
  </w:style>
  <w:style w:type="character" w:customStyle="1" w:styleId="TtuloCar">
    <w:name w:val="Título Car"/>
    <w:basedOn w:val="Fuentedeprrafopredeter"/>
    <w:link w:val="Ttulo"/>
    <w:uiPriority w:val="10"/>
    <w:rsid w:val="00217143"/>
    <w:rPr>
      <w:rFonts w:ascii="Montserrat" w:hAnsi="Montserrat"/>
      <w:b/>
      <w:color w:val="9F2241"/>
      <w:sz w:val="32"/>
      <w:szCs w:val="32"/>
    </w:rPr>
  </w:style>
  <w:style w:type="paragraph" w:styleId="Subttulo">
    <w:name w:val="Subtitle"/>
    <w:basedOn w:val="Normal"/>
    <w:next w:val="Normal"/>
    <w:link w:val="SubttuloCar"/>
    <w:uiPriority w:val="11"/>
    <w:qFormat/>
    <w:rsid w:val="00217143"/>
    <w:pPr>
      <w:spacing w:after="240"/>
    </w:pPr>
    <w:rPr>
      <w:rFonts w:ascii="Montserrat Black" w:hAnsi="Montserrat Black"/>
      <w:color w:val="235B4E"/>
      <w:kern w:val="28"/>
      <w:sz w:val="28"/>
      <w:szCs w:val="28"/>
    </w:rPr>
  </w:style>
  <w:style w:type="character" w:customStyle="1" w:styleId="SubttuloCar">
    <w:name w:val="Subtítulo Car"/>
    <w:basedOn w:val="Fuentedeprrafopredeter"/>
    <w:link w:val="Subttulo"/>
    <w:uiPriority w:val="11"/>
    <w:rsid w:val="00217143"/>
    <w:rPr>
      <w:rFonts w:ascii="Montserrat Black" w:hAnsi="Montserrat Black"/>
      <w:color w:val="235B4E"/>
      <w:kern w:val="28"/>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aliases w:val="Tabla Microsoft Servicios"/>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57AD0"/>
    <w:rPr>
      <w:color w:val="0000FF" w:themeColor="hyperlink"/>
      <w:u w:val="single"/>
    </w:rPr>
  </w:style>
  <w:style w:type="table" w:styleId="Tablaconcuadrcula1Claro-nfasis2">
    <w:name w:val="Grid Table 1 Light Accent 2"/>
    <w:basedOn w:val="Tablanormal"/>
    <w:uiPriority w:val="46"/>
    <w:rsid w:val="00057AD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7B7E00"/>
    <w:rPr>
      <w:color w:val="605E5C"/>
      <w:shd w:val="clear" w:color="auto" w:fill="E1DFDD"/>
    </w:rPr>
  </w:style>
  <w:style w:type="table" w:styleId="Tablanormal1">
    <w:name w:val="Plain Table 1"/>
    <w:basedOn w:val="Tablanormal"/>
    <w:uiPriority w:val="41"/>
    <w:rsid w:val="00C72784"/>
    <w:pPr>
      <w:spacing w:after="0" w:line="240" w:lineRule="auto"/>
    </w:pPr>
    <w:rPr>
      <w:rFonts w:eastAsiaTheme="minorHAnsi"/>
      <w:kern w:val="2"/>
      <w:sz w:val="24"/>
      <w:szCs w:val="24"/>
      <w:lang w:val="es-MX"/>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E68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99"/>
    <w:rsid w:val="00EE6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1">
    <w:name w:val="toc 1"/>
    <w:basedOn w:val="Normal"/>
    <w:next w:val="Normal"/>
    <w:autoRedefine/>
    <w:uiPriority w:val="39"/>
    <w:unhideWhenUsed/>
    <w:rsid w:val="00B76CBE"/>
    <w:pPr>
      <w:spacing w:after="100"/>
    </w:pPr>
  </w:style>
  <w:style w:type="paragraph" w:styleId="TDC2">
    <w:name w:val="toc 2"/>
    <w:basedOn w:val="Normal"/>
    <w:next w:val="Normal"/>
    <w:autoRedefine/>
    <w:uiPriority w:val="39"/>
    <w:unhideWhenUsed/>
    <w:rsid w:val="00B76CBE"/>
    <w:pPr>
      <w:spacing w:after="100"/>
      <w:ind w:left="220"/>
    </w:pPr>
  </w:style>
  <w:style w:type="paragraph" w:styleId="TDC3">
    <w:name w:val="toc 3"/>
    <w:basedOn w:val="Normal"/>
    <w:next w:val="Normal"/>
    <w:autoRedefine/>
    <w:uiPriority w:val="39"/>
    <w:unhideWhenUsed/>
    <w:rsid w:val="00B76CBE"/>
    <w:pPr>
      <w:spacing w:after="100"/>
      <w:ind w:left="440"/>
    </w:pPr>
  </w:style>
  <w:style w:type="paragraph" w:styleId="NormalWeb">
    <w:name w:val="Normal (Web)"/>
    <w:basedOn w:val="Normal"/>
    <w:uiPriority w:val="99"/>
    <w:semiHidden/>
    <w:unhideWhenUsed/>
    <w:rsid w:val="00BF7745"/>
    <w:pPr>
      <w:spacing w:before="100" w:beforeAutospacing="1" w:after="100" w:afterAutospacing="1" w:line="240" w:lineRule="auto"/>
    </w:pPr>
    <w:rPr>
      <w:rFonts w:ascii="Times New Roman" w:hAnsi="Times New Roman" w:cs="Times New Roman"/>
      <w:color w:val="auto"/>
      <w:sz w:val="24"/>
      <w:szCs w:val="24"/>
      <w:lang w:eastAsia="es-MX"/>
    </w:rPr>
  </w:style>
  <w:style w:type="character" w:styleId="CdigoHTML">
    <w:name w:val="HTML Code"/>
    <w:basedOn w:val="Fuentedeprrafopredeter"/>
    <w:uiPriority w:val="99"/>
    <w:semiHidden/>
    <w:unhideWhenUsed/>
    <w:rsid w:val="00BF7745"/>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14821">
      <w:bodyDiv w:val="1"/>
      <w:marLeft w:val="0"/>
      <w:marRight w:val="0"/>
      <w:marTop w:val="0"/>
      <w:marBottom w:val="0"/>
      <w:divBdr>
        <w:top w:val="none" w:sz="0" w:space="0" w:color="auto"/>
        <w:left w:val="none" w:sz="0" w:space="0" w:color="auto"/>
        <w:bottom w:val="none" w:sz="0" w:space="0" w:color="auto"/>
        <w:right w:val="none" w:sz="0" w:space="0" w:color="auto"/>
      </w:divBdr>
    </w:div>
    <w:div w:id="1507400516">
      <w:bodyDiv w:val="1"/>
      <w:marLeft w:val="0"/>
      <w:marRight w:val="0"/>
      <w:marTop w:val="0"/>
      <w:marBottom w:val="0"/>
      <w:divBdr>
        <w:top w:val="none" w:sz="0" w:space="0" w:color="auto"/>
        <w:left w:val="none" w:sz="0" w:space="0" w:color="auto"/>
        <w:bottom w:val="none" w:sz="0" w:space="0" w:color="auto"/>
        <w:right w:val="none" w:sz="0" w:space="0" w:color="auto"/>
      </w:divBdr>
    </w:div>
    <w:div w:id="1514951230">
      <w:bodyDiv w:val="1"/>
      <w:marLeft w:val="0"/>
      <w:marRight w:val="0"/>
      <w:marTop w:val="0"/>
      <w:marBottom w:val="0"/>
      <w:divBdr>
        <w:top w:val="none" w:sz="0" w:space="0" w:color="auto"/>
        <w:left w:val="none" w:sz="0" w:space="0" w:color="auto"/>
        <w:bottom w:val="none" w:sz="0" w:space="0" w:color="auto"/>
        <w:right w:val="none" w:sz="0" w:space="0" w:color="auto"/>
      </w:divBdr>
    </w:div>
    <w:div w:id="1811357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10</Pages>
  <Words>554</Words>
  <Characters>3050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Lelo de Larrea Polanco</cp:lastModifiedBy>
  <cp:revision>68</cp:revision>
  <cp:lastPrinted>2026-01-20T21:57:00Z</cp:lastPrinted>
  <dcterms:created xsi:type="dcterms:W3CDTF">2026-02-13T01:04:00Z</dcterms:created>
  <dcterms:modified xsi:type="dcterms:W3CDTF">2026-06-01T21:50:00Z</dcterms:modified>
  <cp:category/>
</cp:coreProperties>
</file>