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97C87" w14:textId="77777777" w:rsidR="007217F2" w:rsidRDefault="007217F2">
      <w:pPr>
        <w:pStyle w:val="Ttulo1"/>
        <w:rPr>
          <w:rFonts w:ascii="Calibri" w:eastAsia="Times New Roman" w:hAnsi="Calibri" w:cs="Calibri"/>
        </w:rPr>
      </w:pPr>
      <w:bookmarkStart w:id="0" w:name="_Toc217296775"/>
      <w:bookmarkStart w:id="1" w:name="_Toc219739752"/>
      <w:bookmarkStart w:id="2" w:name="_Toc221820033"/>
      <w:r>
        <w:rPr>
          <w:rFonts w:ascii="Calibri" w:eastAsia="Times New Roman" w:hAnsi="Calibri" w:cs="Calibri"/>
        </w:rPr>
        <w:t>Informe Mensual de Actividades</w:t>
      </w:r>
    </w:p>
    <w:p w14:paraId="00BB1BB7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2522F8B3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49ABADDD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5A39DD86" w14:textId="77777777" w:rsidR="007217F2" w:rsidRDefault="007217F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C7F2B15">
          <v:rect id="_x0000_i1025" style="width:0;height:1.5pt" o:hralign="center" o:hrstd="t" o:hr="t" fillcolor="#a0a0a0" stroked="f"/>
        </w:pict>
      </w:r>
    </w:p>
    <w:p w14:paraId="78F444ED" w14:textId="77777777" w:rsidR="007217F2" w:rsidRDefault="007217F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Resumen Ejecutivo</w:t>
      </w:r>
    </w:p>
    <w:p w14:paraId="4E0543D7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de 2026, el trabajo de la Coordinación de Proyectos de TI se enfocó en convertir las especificaciones técnicas y lineamientos de la línea base aprobada en abril en evidencia operativa verificable. Este informe resume el comportamiento medido y los resultados obtenidos en las cinco líneas de trabajo del contrato: el proyecto Vida Saludable (orquestador de descargas masivas), la optimización de rendimiento de bases de datos (Oracle y PostgreSQL), el monitoreo e incidentes de seguridad, la preparación de datasets desidentificados para inteligencia artificial, y las pruebas controladas del pipeline ETL.</w:t>
      </w:r>
    </w:p>
    <w:p w14:paraId="3B085FCE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Los principales hitos del mes incluyeron la definición de los esquemas (layouts) definitivos de la Fase 2, el procesamiento coordinado de </w:t>
      </w:r>
      <w:r>
        <w:rPr>
          <w:rStyle w:val="Fuerte"/>
          <w:rFonts w:ascii="Calibri" w:hAnsi="Calibri" w:cs="Calibri"/>
          <w:sz w:val="22"/>
          <w:szCs w:val="22"/>
        </w:rPr>
        <w:t>14,500 registros</w:t>
      </w:r>
      <w:r>
        <w:rPr>
          <w:rFonts w:ascii="Calibri" w:hAnsi="Calibri" w:cs="Calibri"/>
          <w:sz w:val="22"/>
          <w:szCs w:val="22"/>
        </w:rPr>
        <w:t xml:space="preserve"> a nivel de CURP en tres estados prioritarios (Veracruz, Puebla y el Estado de México), logrando una alta tasa final de descarga de PDFs del </w:t>
      </w:r>
      <w:r>
        <w:rPr>
          <w:rStyle w:val="Fuerte"/>
          <w:rFonts w:ascii="Calibri" w:hAnsi="Calibri" w:cs="Calibri"/>
          <w:sz w:val="22"/>
          <w:szCs w:val="22"/>
        </w:rPr>
        <w:t>98.82%</w:t>
      </w:r>
      <w:r>
        <w:rPr>
          <w:rFonts w:ascii="Calibri" w:hAnsi="Calibri" w:cs="Calibri"/>
          <w:sz w:val="22"/>
          <w:szCs w:val="22"/>
        </w:rPr>
        <w:t xml:space="preserve"> gracias al despliegue automático de reintentos (*circuit breakers*). </w:t>
      </w:r>
    </w:p>
    <w:p w14:paraId="4B502D5D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Asimismo, se instrumentaron optimizaciones directas de índices compuestos en la base de datos de desarrollo, reduciendo los tiempos de extracción en un </w:t>
      </w:r>
      <w:r>
        <w:rPr>
          <w:rStyle w:val="Fuerte"/>
          <w:rFonts w:ascii="Calibri" w:hAnsi="Calibri" w:cs="Calibri"/>
          <w:sz w:val="22"/>
          <w:szCs w:val="22"/>
        </w:rPr>
        <w:t>94.3%</w:t>
      </w:r>
      <w:r>
        <w:rPr>
          <w:rFonts w:ascii="Calibri" w:hAnsi="Calibri" w:cs="Calibri"/>
          <w:sz w:val="22"/>
          <w:szCs w:val="22"/>
        </w:rPr>
        <w:t xml:space="preserve">, y se enfrentó con éxito un incidente de seguridad (exposición de 128 mil registros CSV) validando la pronta respuesta y reescritura de los repositorios de código. </w:t>
      </w:r>
    </w:p>
    <w:p w14:paraId="5DE92638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resultado, mayo consolida la evidencia de operación técni</w:t>
      </w:r>
      <w:r>
        <w:rPr>
          <w:rFonts w:ascii="Calibri" w:hAnsi="Calibri" w:cs="Calibri"/>
          <w:sz w:val="22"/>
          <w:szCs w:val="22"/>
        </w:rPr>
        <w:lastRenderedPageBreak/>
        <w:t>ca e intermedia del trimestre, proveyendo bases cuantitativas sólidas e insumos curados para encarar con total certidumbre el cierre y corte formal de auditoría de TI al 30 de junio de 2026.</w:t>
      </w:r>
    </w:p>
    <w:p w14:paraId="546C1F97" w14:textId="77777777" w:rsidR="007217F2" w:rsidRDefault="007217F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5A499FA">
          <v:rect id="_x0000_i1026" style="width:0;height:1.5pt" o:hralign="center" o:hrstd="t" o:hr="t" fillcolor="#a0a0a0" stroked="f"/>
        </w:pict>
      </w:r>
    </w:p>
    <w:p w14:paraId="5304B740" w14:textId="77777777" w:rsidR="007217F2" w:rsidRDefault="007217F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Visualización General de KPIs de Mayo 2026</w:t>
      </w:r>
    </w:p>
    <w:p w14:paraId="76F6F274" w14:textId="77777777" w:rsidR="007217F2" w:rsidRDefault="007217F2">
      <w:pPr>
        <w:pStyle w:val="HTMLconformatoprevio"/>
      </w:pPr>
    </w:p>
    <w:p w14:paraId="7AC05508" w14:textId="77777777" w:rsidR="007217F2" w:rsidRDefault="007217F2">
      <w:pPr>
        <w:pStyle w:val="HTMLconformatoprevio"/>
      </w:pPr>
      <w:r>
        <w:t>KPI DEL MES: TASA DE ÉXITO DE DESCARGAS (PDFs)</w:t>
      </w:r>
    </w:p>
    <w:p w14:paraId="3F8B0EB7" w14:textId="77777777" w:rsidR="007217F2" w:rsidRDefault="007217F2">
      <w:pPr>
        <w:pStyle w:val="HTMLconformatoprevio"/>
      </w:pPr>
      <w:r>
        <w:t>Objetivo Contractual: &gt;= 95.00%</w:t>
      </w:r>
    </w:p>
    <w:p w14:paraId="54C0513B" w14:textId="77777777" w:rsidR="007217F2" w:rsidRDefault="007217F2">
      <w:pPr>
        <w:pStyle w:val="HTMLconformatoprevio"/>
      </w:pPr>
    </w:p>
    <w:p w14:paraId="70F91A99" w14:textId="77777777" w:rsidR="007217F2" w:rsidRDefault="007217F2">
      <w:pPr>
        <w:pStyle w:val="HTMLconformatoprevio"/>
      </w:pPr>
      <w:r>
        <w:t>Tasa Inicial:      =========================================   96.00%</w:t>
      </w:r>
    </w:p>
    <w:p w14:paraId="1F7E5B71" w14:textId="77777777" w:rsidR="007217F2" w:rsidRDefault="007217F2">
      <w:pPr>
        <w:pStyle w:val="HTMLconformatoprevio"/>
      </w:pPr>
      <w:r>
        <w:t>Tasa Final (Rep):  ===========================================  98.82% [LOGRADO]</w:t>
      </w:r>
    </w:p>
    <w:p w14:paraId="4D86BB44" w14:textId="77777777" w:rsidR="007217F2" w:rsidRDefault="007217F2">
      <w:pPr>
        <w:pStyle w:val="HTMLconformatoprevio"/>
      </w:pPr>
    </w:p>
    <w:p w14:paraId="44CB08E7" w14:textId="77777777" w:rsidR="007217F2" w:rsidRDefault="007217F2">
      <w:pPr>
        <w:pStyle w:val="HTMLconformatoprevio"/>
      </w:pPr>
      <w:r>
        <w:t>MEJORA DE TIEMPOS DE RESPUESTA EN BASE DE DATOS (Segundos)</w:t>
      </w:r>
    </w:p>
    <w:p w14:paraId="3C2160A8" w14:textId="77777777" w:rsidR="007217F2" w:rsidRDefault="007217F2">
      <w:pPr>
        <w:pStyle w:val="HTMLconformatoprevio"/>
      </w:pPr>
      <w:r>
        <w:t>Antes (Abril):     ================== 3.20s</w:t>
      </w:r>
    </w:p>
    <w:p w14:paraId="6785E598" w14:textId="77777777" w:rsidR="007217F2" w:rsidRDefault="007217F2">
      <w:pPr>
        <w:pStyle w:val="HTMLconformatoprevio"/>
      </w:pPr>
      <w:r>
        <w:t>Después (Mayo):    = 0.18s</w:t>
      </w:r>
    </w:p>
    <w:p w14:paraId="16C5ECE3" w14:textId="77777777" w:rsidR="007217F2" w:rsidRDefault="007217F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B3BB06">
          <v:rect id="_x0000_i1027" style="width:0;height:1.5pt" o:hralign="center" o:hrstd="t" o:hr="t" fillcolor="#a0a0a0" stroked="f"/>
        </w:pict>
      </w:r>
    </w:p>
    <w:p w14:paraId="421D6CD3" w14:textId="77777777" w:rsidR="007217F2" w:rsidRDefault="007217F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Actividades Realizadas en Mayo (5 Entregables)</w:t>
      </w:r>
    </w:p>
    <w:p w14:paraId="7DE4A281" w14:textId="77777777" w:rsidR="007217F2" w:rsidRDefault="007217F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Operación del Proyecto Vida Saludable y Layouts (Fase 2)</w:t>
      </w:r>
    </w:p>
    <w:p w14:paraId="473B367C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ejecutaron corridas principales del orquestador correspondientes a alumnos de Veracruz, Puebla y la reanudación programada de lotes:</w:t>
      </w:r>
    </w:p>
    <w:p w14:paraId="45A60432" w14:textId="77777777" w:rsidR="007217F2" w:rsidRDefault="007217F2" w:rsidP="007217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  <w:b/>
          <w:bCs/>
        </w:rPr>
        <w:t>LOTE-202605-01</w:t>
      </w:r>
      <w:r>
        <w:rPr>
          <w:rStyle w:val="Fuerte"/>
          <w:rFonts w:ascii="Calibri" w:eastAsia="Times New Roman" w:hAnsi="Calibri" w:cs="Calibri"/>
        </w:rPr>
        <w:t xml:space="preserve"> (Veracruz):</w:t>
      </w:r>
      <w:r>
        <w:rPr>
          <w:rFonts w:ascii="Calibri" w:eastAsia="Times New Roman" w:hAnsi="Calibri" w:cs="Calibri"/>
        </w:rPr>
        <w:t xml:space="preserve"> 5,500 registros procesados, de los cuales 5,340 resultaron en descargas físicas exitosas.</w:t>
      </w:r>
    </w:p>
    <w:p w14:paraId="0CFBC124" w14:textId="77777777" w:rsidR="007217F2" w:rsidRDefault="007217F2" w:rsidP="007217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  <w:b/>
          <w:bCs/>
        </w:rPr>
        <w:t>LOTE-202605-02</w:t>
      </w:r>
      <w:r>
        <w:rPr>
          <w:rStyle w:val="Fuerte"/>
          <w:rFonts w:ascii="Calibri" w:eastAsia="Times New Roman" w:hAnsi="Calibri" w:cs="Calibri"/>
        </w:rPr>
        <w:t xml:space="preserve"> (Puebla):</w:t>
      </w:r>
      <w:r>
        <w:rPr>
          <w:rFonts w:ascii="Calibri" w:eastAsia="Times New Roman" w:hAnsi="Calibri" w:cs="Calibri"/>
        </w:rPr>
        <w:t xml:space="preserve"> 6,200 registros procesados, mitigando activamente una degradación en l</w:t>
      </w:r>
      <w:r>
        <w:rPr>
          <w:rFonts w:ascii="Calibri" w:eastAsia="Times New Roman" w:hAnsi="Calibri" w:cs="Calibri"/>
        </w:rPr>
        <w:lastRenderedPageBreak/>
        <w:t>a API externa limitando a 10 hilos concurrentes.</w:t>
      </w:r>
    </w:p>
    <w:p w14:paraId="312D46CA" w14:textId="77777777" w:rsidR="007217F2" w:rsidRDefault="007217F2" w:rsidP="007217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  <w:b/>
          <w:bCs/>
        </w:rPr>
        <w:t>LOTE-202605-03_REPROCESO</w:t>
      </w:r>
      <w:r>
        <w:rPr>
          <w:rStyle w:val="Fuerte"/>
          <w:rFonts w:ascii="Calibri" w:eastAsia="Times New Roman" w:hAnsi="Calibri" w:cs="Calibri"/>
        </w:rPr>
        <w:t xml:space="preserve"> (EdoMex/Coahuila):</w:t>
      </w:r>
      <w:r>
        <w:rPr>
          <w:rFonts w:ascii="Calibri" w:eastAsia="Times New Roman" w:hAnsi="Calibri" w:cs="Calibri"/>
        </w:rPr>
        <w:t xml:space="preserve"> 2,800 descargas completadas de manera automatizada.</w:t>
      </w:r>
    </w:p>
    <w:p w14:paraId="31017C84" w14:textId="77777777" w:rsidR="007217F2" w:rsidRDefault="007217F2" w:rsidP="007217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Estandarización de Layouts:</w:t>
      </w:r>
      <w:r>
        <w:rPr>
          <w:rFonts w:ascii="Calibri" w:eastAsia="Times New Roman" w:hAnsi="Calibri" w:cs="Calibri"/>
        </w:rPr>
        <w:t xml:space="preserve"> Se consolidaron formalmente los esquemas en el documento </w:t>
      </w:r>
      <w:r>
        <w:rPr>
          <w:rStyle w:val="CdigoHTML"/>
        </w:rPr>
        <w:t>04-DEFINICION-LAYOUTS.md</w:t>
      </w:r>
      <w:r>
        <w:rPr>
          <w:rFonts w:ascii="Calibri" w:eastAsia="Times New Roman" w:hAnsi="Calibri" w:cs="Calibri"/>
        </w:rPr>
        <w:t>, incluyendo los campos requeridos para las importaciones de "Alumnos Evaluados", "Sin Padecimientos", y los layouts clínicos "IMSS / IMSS-Bienestar".</w:t>
      </w:r>
    </w:p>
    <w:p w14:paraId="21129239" w14:textId="77777777" w:rsidR="007217F2" w:rsidRDefault="007217F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Rendimiento y Optimización de Bases de Datos</w:t>
      </w:r>
    </w:p>
    <w:p w14:paraId="60804602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evaluó el comportamiento de la base de datos frente al procesamiento concurrente masivo en los esquemas gestionados:</w:t>
      </w:r>
    </w:p>
    <w:p w14:paraId="340AA87F" w14:textId="77777777" w:rsidR="007217F2" w:rsidRDefault="007217F2" w:rsidP="007217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  <w:b/>
          <w:bCs/>
        </w:rPr>
        <w:t>SEP_MUSEMS_PU</w:t>
      </w:r>
      <w:r>
        <w:rPr>
          <w:rStyle w:val="Fuerte"/>
          <w:rFonts w:ascii="Calibri" w:eastAsia="Times New Roman" w:hAnsi="Calibri" w:cs="Calibri"/>
        </w:rPr>
        <w:t xml:space="preserve"> (Oracle):</w:t>
      </w:r>
      <w:r>
        <w:rPr>
          <w:rFonts w:ascii="Calibri" w:eastAsia="Times New Roman" w:hAnsi="Calibri" w:cs="Calibri"/>
        </w:rPr>
        <w:t xml:space="preserve"> Se estableció formalmente el orden de limpieza relacional (</w:t>
      </w:r>
      <w:r>
        <w:rPr>
          <w:rStyle w:val="CdigoHTML"/>
        </w:rPr>
        <w:t>BEST_PRACTICES_DB_SCRIPTS.md</w:t>
      </w:r>
      <w:r>
        <w:rPr>
          <w:rFonts w:ascii="Calibri" w:eastAsia="Times New Roman" w:hAnsi="Calibri" w:cs="Calibri"/>
        </w:rPr>
        <w:t xml:space="preserve">) evitando los bloqueos de foráneas durante las sentencias </w:t>
      </w:r>
      <w:r>
        <w:rPr>
          <w:rStyle w:val="CdigoHTML"/>
        </w:rPr>
        <w:t>simulation_ultra.sql</w:t>
      </w:r>
      <w:r>
        <w:rPr>
          <w:rFonts w:ascii="Calibri" w:eastAsia="Times New Roman" w:hAnsi="Calibri" w:cs="Calibri"/>
        </w:rPr>
        <w:t>.</w:t>
      </w:r>
    </w:p>
    <w:p w14:paraId="17EEEDF3" w14:textId="77777777" w:rsidR="007217F2" w:rsidRDefault="007217F2" w:rsidP="007217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Vida Saludable (PostgreSQL):</w:t>
      </w:r>
      <w:r>
        <w:rPr>
          <w:rFonts w:ascii="Calibri" w:eastAsia="Times New Roman" w:hAnsi="Calibri" w:cs="Calibri"/>
        </w:rPr>
        <w:t xml:space="preserve"> La creación del índice compuesto </w:t>
      </w:r>
      <w:r>
        <w:rPr>
          <w:rStyle w:val="CdigoHTML"/>
        </w:rPr>
        <w:t>idx_menor_evaluado_cct_curp_ciclo</w:t>
      </w:r>
      <w:r>
        <w:rPr>
          <w:rFonts w:ascii="Calibri" w:eastAsia="Times New Roman" w:hAnsi="Calibri" w:cs="Calibri"/>
        </w:rPr>
        <w:t xml:space="preserve"> mejoró los tiempos de extracción de un promedio de </w:t>
      </w:r>
      <w:r>
        <w:rPr>
          <w:rStyle w:val="Fuerte"/>
          <w:rFonts w:ascii="Calibri" w:eastAsia="Times New Roman" w:hAnsi="Calibri" w:cs="Calibri"/>
        </w:rPr>
        <w:t>3.20 segundos</w:t>
      </w:r>
      <w:r>
        <w:rPr>
          <w:rFonts w:ascii="Calibri" w:eastAsia="Times New Roman" w:hAnsi="Calibri" w:cs="Calibri"/>
        </w:rPr>
        <w:t xml:space="preserve"> a </w:t>
      </w:r>
      <w:r>
        <w:rPr>
          <w:rStyle w:val="Fuerte"/>
          <w:rFonts w:ascii="Calibri" w:eastAsia="Times New Roman" w:hAnsi="Calibri" w:cs="Calibri"/>
        </w:rPr>
        <w:t>0.18 segundos</w:t>
      </w:r>
      <w:r>
        <w:rPr>
          <w:rFonts w:ascii="Calibri" w:eastAsia="Times New Roman" w:hAnsi="Calibri" w:cs="Calibri"/>
        </w:rPr>
        <w:t>.</w:t>
      </w:r>
    </w:p>
    <w:p w14:paraId="442B46A3" w14:textId="77777777" w:rsidR="007217F2" w:rsidRDefault="007217F2" w:rsidP="007217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Análisis de hilos (</w:t>
      </w:r>
      <w:r>
        <w:rPr>
          <w:rStyle w:val="CdigoHTML"/>
          <w:b/>
          <w:bCs/>
        </w:rPr>
        <w:t>WORKERS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Pruebas de estrés mostraron que elevar la concurrencia a 20 hilos causa timeouts en el pool de conexiones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. Se limitó a un rango de </w:t>
      </w:r>
      <w:r>
        <w:rPr>
          <w:rStyle w:val="Fuerte"/>
          <w:rFonts w:ascii="Calibri" w:eastAsia="Times New Roman" w:hAnsi="Calibri" w:cs="Calibri"/>
        </w:rPr>
        <w:t>12 a 15 hilos</w:t>
      </w:r>
      <w:r>
        <w:rPr>
          <w:rFonts w:ascii="Calibri" w:eastAsia="Times New Roman" w:hAnsi="Calibri" w:cs="Calibri"/>
        </w:rPr>
        <w:t>.</w:t>
      </w:r>
    </w:p>
    <w:p w14:paraId="4B41C05E" w14:textId="77777777" w:rsidR="007217F2" w:rsidRDefault="007217F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Monitoreo y Alertamiento Técnico (Seguridad)</w:t>
      </w:r>
    </w:p>
    <w:p w14:paraId="347DB83B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documentaron e instrumentaron resoluciones críticas derivadas de monitoreo preventivo:</w:t>
      </w:r>
    </w:p>
    <w:p w14:paraId="5611805B" w14:textId="77777777" w:rsidR="007217F2" w:rsidRDefault="007217F2" w:rsidP="007217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Fuga de Datos Sensibles (LGPDPPSO):</w:t>
      </w:r>
      <w:r>
        <w:rPr>
          <w:rFonts w:ascii="Calibri" w:eastAsia="Times New Roman" w:hAnsi="Calibri" w:cs="Calibri"/>
        </w:rPr>
        <w:t xml:space="preserve"> El 17 de abril se detectó un commit accidental con 128,112 registros PII. Se aplicó una remediación drástica mediante limpieza del historial de Git (</w:t>
      </w:r>
      <w:r>
        <w:rPr>
          <w:rStyle w:val="CdigoHTML"/>
        </w:rPr>
        <w:t>git filter-repo</w:t>
      </w:r>
      <w:r>
        <w:rPr>
          <w:rFonts w:ascii="Calibri" w:eastAsia="Times New Roman" w:hAnsi="Calibri" w:cs="Calibri"/>
        </w:rPr>
        <w:t xml:space="preserve">) y creación de un </w:t>
      </w:r>
      <w:r>
        <w:rPr>
          <w:rStyle w:val="CdigoHTML"/>
        </w:rPr>
        <w:t>pre-commit</w:t>
      </w:r>
      <w:r>
        <w:rPr>
          <w:rFonts w:ascii="Calibri" w:eastAsia="Times New Roman" w:hAnsi="Calibri" w:cs="Calibri"/>
        </w:rPr>
        <w:t xml:space="preserve"> hook preventivo.</w:t>
      </w:r>
    </w:p>
    <w:p w14:paraId="7876037D" w14:textId="77777777" w:rsidR="007217F2" w:rsidRDefault="007217F2" w:rsidP="007217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Incidentes UI (Issue 45):</w:t>
      </w:r>
      <w:r>
        <w:rPr>
          <w:rFonts w:ascii="Calibri" w:eastAsia="Times New Roman" w:hAnsi="Calibri" w:cs="Calibri"/>
        </w:rPr>
        <w:t xml:space="preserve"> Se detectó y remedió un problema de *Information Leakage* en el Frontend del repositorio secundario mediante un rediseño del menú y protecciones de rutas (</w:t>
      </w:r>
      <w:r>
        <w:rPr>
          <w:rStyle w:val="CdigoHTML"/>
        </w:rPr>
        <w:t>ProtectedRoute</w:t>
      </w:r>
      <w:r>
        <w:rPr>
          <w:rFonts w:ascii="Calibri" w:eastAsia="Times New Roman" w:hAnsi="Calibri" w:cs="Calibri"/>
        </w:rPr>
        <w:t>) avaladas contra los permisos de Oracle.</w:t>
      </w:r>
    </w:p>
    <w:p w14:paraId="6270C9D8" w14:textId="77777777" w:rsidR="007217F2" w:rsidRDefault="007217F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Preparación de Datasets para Inteligencia Artificial</w:t>
      </w:r>
    </w:p>
    <w:p w14:paraId="1BFC51FE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Derivado de la contingencia de seguridad con CSVs expuestos, se aplicaron lineamientos rígidos de enmascaramiento:</w:t>
      </w:r>
    </w:p>
    <w:p w14:paraId="39E22DAE" w14:textId="77777777" w:rsidR="007217F2" w:rsidRDefault="007217F2" w:rsidP="007217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Ningún dataset predictivo almacenará CURP ni Nombres. Todo se ofuscó usando criptografía MD5 (</w:t>
      </w:r>
      <w:r>
        <w:rPr>
          <w:rStyle w:val="CdigoHTML"/>
        </w:rPr>
        <w:t>MD5_HASH(CURP + SALT)</w:t>
      </w:r>
      <w:r>
        <w:rPr>
          <w:rFonts w:ascii="Calibri" w:eastAsia="Times New Roman" w:hAnsi="Calibri" w:cs="Calibri"/>
        </w:rPr>
        <w:t>).</w:t>
      </w:r>
    </w:p>
    <w:p w14:paraId="34FF2CBA" w14:textId="77777777" w:rsidR="007217F2" w:rsidRDefault="007217F2" w:rsidP="007217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 depuraron cuatro conjuntos de datos piloto (Rendimiento, Anonimizado, Incidencias, Descargas) para entrenar los algoritmos iniciales de distribución de tráfico e inferencia de fallos en llamadas HTTP.</w:t>
      </w:r>
    </w:p>
    <w:p w14:paraId="3C639E1B" w14:textId="77777777" w:rsidR="007217F2" w:rsidRDefault="007217F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Pipeline Ingesta, Validación y Carga (ETL)</w:t>
      </w:r>
    </w:p>
    <w:p w14:paraId="54B55709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validaron los flujos del proceso ELT aislando el pre-procesamiento de archivos en texto plano.</w:t>
      </w:r>
    </w:p>
    <w:p w14:paraId="4BD8DD52" w14:textId="77777777" w:rsidR="007217F2" w:rsidRDefault="007217F2" w:rsidP="007217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Un total de </w:t>
      </w:r>
      <w:r>
        <w:rPr>
          <w:rStyle w:val="Fuerte"/>
          <w:rFonts w:ascii="Calibri" w:eastAsia="Times New Roman" w:hAnsi="Calibri" w:cs="Calibri"/>
        </w:rPr>
        <w:t>45 incoherencias de CURP</w:t>
      </w:r>
      <w:r>
        <w:rPr>
          <w:rFonts w:ascii="Calibri" w:eastAsia="Times New Roman" w:hAnsi="Calibri" w:cs="Calibri"/>
        </w:rPr>
        <w:t xml:space="preserve"> detectadas en los layouts del lote Puebla fueron desviadas automáticamente al archivo log </w:t>
      </w:r>
      <w:r>
        <w:rPr>
          <w:rStyle w:val="CdigoHTML"/>
        </w:rPr>
        <w:t>depuracion_errores.json</w:t>
      </w:r>
      <w:r>
        <w:rPr>
          <w:rFonts w:ascii="Calibri" w:eastAsia="Times New Roman" w:hAnsi="Calibri" w:cs="Calibri"/>
        </w:rPr>
        <w:t>, evitando llamadas erróneas a la API y previendo la caída del pipeline.</w:t>
      </w:r>
    </w:p>
    <w:p w14:paraId="59AF5F97" w14:textId="77777777" w:rsidR="007217F2" w:rsidRDefault="007217F2" w:rsidP="007217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Las pruebas de carga confirmaron que la codificación AES-128 "al vuelo" del token de consulta operó con tiempos transaccionales óptimos bajo concurrencia.</w:t>
      </w:r>
    </w:p>
    <w:p w14:paraId="37F304AA" w14:textId="77777777" w:rsidR="007217F2" w:rsidRDefault="007217F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81ABFA8">
          <v:rect id="_x0000_i1028" style="width:0;height:1.5pt" o:hralign="center" o:hrstd="t" o:hr="t" fillcolor="#a0a0a0" stroked="f"/>
        </w:pict>
      </w:r>
    </w:p>
    <w:p w14:paraId="0106BB50" w14:textId="77777777" w:rsidR="007217F2" w:rsidRDefault="007217F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Próximos Pasos (Cierre Trimestral Junio)</w:t>
      </w:r>
    </w:p>
    <w:p w14:paraId="7A4C9F76" w14:textId="77777777" w:rsidR="007217F2" w:rsidRDefault="007217F2" w:rsidP="007217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Consolidar la entrega documental del semestre preparando el corte trimestral del 30 de junio de 2026.</w:t>
      </w:r>
    </w:p>
    <w:p w14:paraId="688E62EF" w14:textId="77777777" w:rsidR="007217F2" w:rsidRDefault="007217F2" w:rsidP="007217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Extender las pruebas del proceso de generación de cartas de consentimiento a partir del script de fusión docx piloto.</w:t>
      </w:r>
    </w:p>
    <w:p w14:paraId="397653F3" w14:textId="77777777" w:rsidR="007217F2" w:rsidRDefault="007217F2" w:rsidP="007217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Presentar comparativas cuantitativas integrales de rendimiento técnico de base de datos post-índices compuestos.</w:t>
      </w:r>
    </w:p>
    <w:p w14:paraId="0B7F650D" w14:textId="77777777" w:rsidR="007217F2" w:rsidRDefault="007217F2" w:rsidP="007217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Vigilar la correcta operación de los hooks de seguridad de Git para imposibilitar nuevas vulneraciones de información personal.</w:t>
      </w:r>
    </w:p>
    <w:p w14:paraId="31545A0C" w14:textId="77777777" w:rsidR="007217F2" w:rsidRDefault="007217F2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3747C7">
          <v:rect id="_x0000_i1029" style="width:0;height:1.5pt" o:hralign="center" o:hrstd="t" o:hr="t" fillcolor="#a0a0a0" stroked="f"/>
        </w:pict>
      </w:r>
    </w:p>
    <w:p w14:paraId="0C0F4C4A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41EE62C3" w14:textId="77777777" w:rsidR="007217F2" w:rsidRDefault="007217F2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documento y sus entregables adjuntos asientan la evidencia del mes de mayo, superando los incidentes detectados y ratificando la estabilidad y robustez del código fuente en los entornos institucionales auditados.</w:t>
      </w:r>
    </w:p>
    <w:p w14:paraId="6A50ABE9" w14:textId="77777777" w:rsidR="007217F2" w:rsidRDefault="007217F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br w:type="page"/>
      </w:r>
    </w:p>
    <w:bookmarkEnd w:id="0"/>
    <w:bookmarkEnd w:id="1"/>
    <w:bookmarkEnd w:id="2"/>
    <w:p w14:paraId="329C35E3" w14:textId="77777777" w:rsidR="007217F2" w:rsidRDefault="007217F2" w:rsidP="0076298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</w:p>
    <w:p w14:paraId="488F7A54" w14:textId="33DFFA90" w:rsidR="00762984" w:rsidRPr="00F35958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F35958" w:rsidRDefault="00762984" w:rsidP="00762984">
      <w:pPr>
        <w:rPr>
          <w:rFonts w:ascii="Arial" w:hAnsi="Arial" w:cs="Arial"/>
          <w:color w:val="auto"/>
        </w:rPr>
      </w:pPr>
      <w:r w:rsidRPr="00F35958">
        <w:rPr>
          <w:rFonts w:ascii="Arial" w:hAnsi="Arial" w:cs="Arial"/>
          <w:color w:val="auto"/>
        </w:rPr>
        <w:t>Tras la revisión del documento,</w:t>
      </w:r>
      <w:r w:rsidRPr="00F35958">
        <w:rPr>
          <w:rFonts w:asciiTheme="minorHAnsi" w:hAnsiTheme="minorHAnsi"/>
          <w:color w:val="auto"/>
        </w:rPr>
        <w:t xml:space="preserve"> s</w:t>
      </w:r>
      <w:r w:rsidRPr="00F35958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F35958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F35958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F35958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F35958" w14:paraId="7D0815A2" w14:textId="77777777" w:rsidTr="00E41D98">
        <w:tc>
          <w:tcPr>
            <w:tcW w:w="4675" w:type="dxa"/>
          </w:tcPr>
          <w:p w14:paraId="5C93266E" w14:textId="38C4471D" w:rsidR="00C72784" w:rsidRPr="00F35958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 w:rsidRPr="00F35958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F35958" w14:paraId="4EFFA3A4" w14:textId="77777777" w:rsidTr="00E41D98">
        <w:tc>
          <w:tcPr>
            <w:tcW w:w="4675" w:type="dxa"/>
          </w:tcPr>
          <w:p w14:paraId="3A32D21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F35958" w14:paraId="18A22D1F" w14:textId="77777777" w:rsidTr="00E41D98">
        <w:tc>
          <w:tcPr>
            <w:tcW w:w="4675" w:type="dxa"/>
          </w:tcPr>
          <w:p w14:paraId="4035BC3F" w14:textId="6EF73872" w:rsidR="00C72784" w:rsidRPr="00F35958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F35958" w14:paraId="0E84DC51" w14:textId="77777777" w:rsidTr="00E41D98">
        <w:tc>
          <w:tcPr>
            <w:tcW w:w="4675" w:type="dxa"/>
          </w:tcPr>
          <w:p w14:paraId="20A9AA2C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F35958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F35958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F35958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8"/>
      <w:footerReference w:type="default" r:id="rId9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70929" w14:textId="77777777" w:rsidR="00D263DA" w:rsidRPr="00F35958" w:rsidRDefault="00D263DA" w:rsidP="00997E2E">
      <w:r w:rsidRPr="00F35958">
        <w:separator/>
      </w:r>
    </w:p>
  </w:endnote>
  <w:endnote w:type="continuationSeparator" w:id="0">
    <w:p w14:paraId="4FEA9933" w14:textId="77777777" w:rsidR="00D263DA" w:rsidRPr="00F35958" w:rsidRDefault="00D263DA" w:rsidP="00997E2E">
      <w:r w:rsidRPr="00F359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F35958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3" w:name="_Hlk195261366"/>
    <w:bookmarkStart w:id="4" w:name="_Hlk195261367"/>
    <w:r w:rsidRPr="00F35958">
      <w:rPr>
        <w:rFonts w:ascii="Noto Sans" w:hAnsi="Noto Sans" w:cs="Noto Sans"/>
        <w:sz w:val="18"/>
        <w:szCs w:val="18"/>
      </w:rPr>
      <w:t xml:space="preserve">Página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1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Pr="00F35958">
      <w:rPr>
        <w:rFonts w:ascii="Noto Sans" w:hAnsi="Noto Sans" w:cs="Noto Sans"/>
        <w:sz w:val="18"/>
        <w:szCs w:val="18"/>
      </w:rPr>
      <w:t xml:space="preserve"> de </w:t>
    </w:r>
    <w:r w:rsidRPr="00F35958">
      <w:rPr>
        <w:rFonts w:ascii="Noto Sans" w:hAnsi="Noto Sans" w:cs="Noto Sans"/>
        <w:b/>
        <w:bCs/>
        <w:sz w:val="18"/>
        <w:szCs w:val="18"/>
      </w:rPr>
      <w:fldChar w:fldCharType="begin"/>
    </w:r>
    <w:r w:rsidRPr="00F35958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F35958">
      <w:rPr>
        <w:rFonts w:ascii="Noto Sans" w:hAnsi="Noto Sans" w:cs="Noto Sans"/>
        <w:b/>
        <w:bCs/>
        <w:sz w:val="18"/>
        <w:szCs w:val="18"/>
      </w:rPr>
      <w:fldChar w:fldCharType="separate"/>
    </w:r>
    <w:r w:rsidRPr="00F35958">
      <w:rPr>
        <w:rFonts w:ascii="Noto Sans" w:hAnsi="Noto Sans" w:cs="Noto Sans"/>
        <w:b/>
        <w:bCs/>
        <w:sz w:val="18"/>
        <w:szCs w:val="18"/>
      </w:rPr>
      <w:t>2</w:t>
    </w:r>
    <w:r w:rsidRPr="00F35958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F35958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F35958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Unidad de Administración y Finanzas</w:t>
    </w:r>
    <w:r w:rsidRPr="00F35958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Dirección General de Tecnologías de</w:t>
    </w:r>
    <w:r w:rsidRPr="00F35958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F35958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F35958">
      <w:rPr>
        <w:rFonts w:ascii="Noto Sans" w:hAnsi="Noto Sans" w:cs="Noto Sans"/>
        <w:sz w:val="18"/>
        <w:szCs w:val="18"/>
      </w:rPr>
      <w:t>la Información y Comunicaciones</w:t>
    </w:r>
    <w:r w:rsidRPr="00F35958">
      <w:rPr>
        <w:rFonts w:ascii="Noto Sans" w:hAnsi="Noto Sans" w:cs="Noto Sans"/>
        <w:sz w:val="18"/>
        <w:szCs w:val="18"/>
      </w:rPr>
      <w:tab/>
    </w:r>
  </w:p>
  <w:bookmarkEnd w:id="3"/>
  <w:bookmarkEnd w:id="4"/>
  <w:p w14:paraId="7DCB4A70" w14:textId="77777777" w:rsidR="00997E2E" w:rsidRPr="00F35958" w:rsidRDefault="00997E2E" w:rsidP="00997E2E">
    <w:pPr>
      <w:pStyle w:val="Encabezado"/>
      <w:ind w:right="474"/>
      <w:jc w:val="right"/>
    </w:pPr>
  </w:p>
  <w:p w14:paraId="370C7DA8" w14:textId="7BBD45B3" w:rsidR="00E42075" w:rsidRPr="00F35958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24317" w14:textId="77777777" w:rsidR="00D263DA" w:rsidRPr="00F35958" w:rsidRDefault="00D263DA" w:rsidP="00997E2E">
      <w:r w:rsidRPr="00F35958">
        <w:separator/>
      </w:r>
    </w:p>
  </w:footnote>
  <w:footnote w:type="continuationSeparator" w:id="0">
    <w:p w14:paraId="126F7027" w14:textId="77777777" w:rsidR="00D263DA" w:rsidRPr="00F35958" w:rsidRDefault="00D263DA" w:rsidP="00997E2E">
      <w:r w:rsidRPr="00F3595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F35958" w:rsidRDefault="00997E2E" w:rsidP="00997E2E">
    <w:pPr>
      <w:pStyle w:val="Encabezado"/>
    </w:pPr>
    <w:r w:rsidRPr="00F35958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F35958" w:rsidRDefault="00997E2E" w:rsidP="00997E2E">
    <w:pPr>
      <w:pStyle w:val="Encabezado"/>
      <w:jc w:val="right"/>
    </w:pPr>
    <w:r w:rsidRPr="00F35958">
      <w:t>Unidad de Administración y Finanzas</w:t>
    </w:r>
    <w:r w:rsidRPr="00F35958">
      <w:tab/>
    </w:r>
  </w:p>
  <w:p w14:paraId="7E408CE7" w14:textId="31431E63" w:rsidR="00997E2E" w:rsidRPr="00F35958" w:rsidRDefault="00997E2E" w:rsidP="00997E2E">
    <w:pPr>
      <w:pStyle w:val="Encabezado"/>
      <w:jc w:val="right"/>
    </w:pPr>
    <w:r w:rsidRPr="00F35958">
      <w:t>Dirección General de Tecnologías de</w:t>
    </w:r>
    <w:r w:rsidRPr="00F35958">
      <w:tab/>
      <w:t xml:space="preserve"> </w:t>
    </w:r>
  </w:p>
  <w:p w14:paraId="0D6A6991" w14:textId="76F185EB" w:rsidR="00997E2E" w:rsidRPr="00F35958" w:rsidRDefault="00997E2E" w:rsidP="00997E2E">
    <w:pPr>
      <w:pStyle w:val="Encabezado"/>
      <w:jc w:val="right"/>
    </w:pPr>
    <w:r w:rsidRPr="00F35958">
      <w:t>la Información y Comunicaciones</w:t>
    </w:r>
    <w:r w:rsidRPr="00F35958">
      <w:tab/>
    </w:r>
  </w:p>
  <w:p w14:paraId="466085AA" w14:textId="77777777" w:rsidR="00997E2E" w:rsidRPr="00F35958" w:rsidRDefault="00997E2E" w:rsidP="00997E2E">
    <w:pPr>
      <w:pStyle w:val="Encabezado"/>
    </w:pPr>
  </w:p>
  <w:p w14:paraId="57844811" w14:textId="77777777" w:rsidR="00997E2E" w:rsidRPr="00F35958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1C77A4"/>
    <w:multiLevelType w:val="multilevel"/>
    <w:tmpl w:val="6264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0D2625"/>
    <w:multiLevelType w:val="multilevel"/>
    <w:tmpl w:val="4110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983047"/>
    <w:multiLevelType w:val="multilevel"/>
    <w:tmpl w:val="DCFC6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4002E"/>
    <w:multiLevelType w:val="multilevel"/>
    <w:tmpl w:val="10D0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14330B"/>
    <w:multiLevelType w:val="multilevel"/>
    <w:tmpl w:val="B462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426EE3"/>
    <w:multiLevelType w:val="multilevel"/>
    <w:tmpl w:val="A0DC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4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1"/>
  </w:num>
  <w:num w:numId="11" w16cid:durableId="1924602666">
    <w:abstractNumId w:val="15"/>
  </w:num>
  <w:num w:numId="12" w16cid:durableId="2021344936">
    <w:abstractNumId w:val="2"/>
  </w:num>
  <w:num w:numId="13" w16cid:durableId="426192003">
    <w:abstractNumId w:val="12"/>
  </w:num>
  <w:num w:numId="14" w16cid:durableId="1061488019">
    <w:abstractNumId w:val="13"/>
  </w:num>
  <w:num w:numId="15" w16cid:durableId="1813524148">
    <w:abstractNumId w:val="8"/>
  </w:num>
  <w:num w:numId="16" w16cid:durableId="458031909">
    <w:abstractNumId w:val="17"/>
  </w:num>
  <w:num w:numId="17" w16cid:durableId="1065496706">
    <w:abstractNumId w:val="16"/>
  </w:num>
  <w:num w:numId="18" w16cid:durableId="274023026">
    <w:abstractNumId w:val="1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1BE0"/>
    <w:rsid w:val="00034616"/>
    <w:rsid w:val="000370F9"/>
    <w:rsid w:val="00055D65"/>
    <w:rsid w:val="00057AD0"/>
    <w:rsid w:val="0006063C"/>
    <w:rsid w:val="00083F2C"/>
    <w:rsid w:val="00084C49"/>
    <w:rsid w:val="00090885"/>
    <w:rsid w:val="000B17D6"/>
    <w:rsid w:val="000C6807"/>
    <w:rsid w:val="000E2A85"/>
    <w:rsid w:val="000E4F7B"/>
    <w:rsid w:val="000E5C6E"/>
    <w:rsid w:val="0011731C"/>
    <w:rsid w:val="00134559"/>
    <w:rsid w:val="001427DC"/>
    <w:rsid w:val="0015074B"/>
    <w:rsid w:val="00157EAF"/>
    <w:rsid w:val="00170CE1"/>
    <w:rsid w:val="00172EBA"/>
    <w:rsid w:val="00176EC1"/>
    <w:rsid w:val="001A3E81"/>
    <w:rsid w:val="001C128F"/>
    <w:rsid w:val="001D1407"/>
    <w:rsid w:val="001E4A8B"/>
    <w:rsid w:val="001E5D67"/>
    <w:rsid w:val="001F6D0E"/>
    <w:rsid w:val="00204D8B"/>
    <w:rsid w:val="00212A0E"/>
    <w:rsid w:val="0021558B"/>
    <w:rsid w:val="00217143"/>
    <w:rsid w:val="00220BDA"/>
    <w:rsid w:val="0023360F"/>
    <w:rsid w:val="002473BE"/>
    <w:rsid w:val="002556C5"/>
    <w:rsid w:val="00263A75"/>
    <w:rsid w:val="0027514D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4341D"/>
    <w:rsid w:val="00362670"/>
    <w:rsid w:val="00364FFA"/>
    <w:rsid w:val="003900CC"/>
    <w:rsid w:val="0039521E"/>
    <w:rsid w:val="003A02A7"/>
    <w:rsid w:val="003A3A97"/>
    <w:rsid w:val="003A5DB2"/>
    <w:rsid w:val="003B5DF2"/>
    <w:rsid w:val="003B7A12"/>
    <w:rsid w:val="003B7DEA"/>
    <w:rsid w:val="003C7FA1"/>
    <w:rsid w:val="003D0174"/>
    <w:rsid w:val="003F7817"/>
    <w:rsid w:val="00413D31"/>
    <w:rsid w:val="00440931"/>
    <w:rsid w:val="0045232B"/>
    <w:rsid w:val="00460181"/>
    <w:rsid w:val="00474EE0"/>
    <w:rsid w:val="00477234"/>
    <w:rsid w:val="004806E4"/>
    <w:rsid w:val="00490C87"/>
    <w:rsid w:val="0049360B"/>
    <w:rsid w:val="004A577B"/>
    <w:rsid w:val="004C19FB"/>
    <w:rsid w:val="004D2F30"/>
    <w:rsid w:val="004D6556"/>
    <w:rsid w:val="004F3533"/>
    <w:rsid w:val="004F6419"/>
    <w:rsid w:val="005014CD"/>
    <w:rsid w:val="00504757"/>
    <w:rsid w:val="00517CFC"/>
    <w:rsid w:val="00530CC9"/>
    <w:rsid w:val="00543F0E"/>
    <w:rsid w:val="00547C5E"/>
    <w:rsid w:val="00555191"/>
    <w:rsid w:val="0057038B"/>
    <w:rsid w:val="005D1431"/>
    <w:rsid w:val="005E7D6D"/>
    <w:rsid w:val="005F77E9"/>
    <w:rsid w:val="00606958"/>
    <w:rsid w:val="00614DF1"/>
    <w:rsid w:val="00635402"/>
    <w:rsid w:val="00643CB0"/>
    <w:rsid w:val="0065130E"/>
    <w:rsid w:val="006608CE"/>
    <w:rsid w:val="00671768"/>
    <w:rsid w:val="00673450"/>
    <w:rsid w:val="006942DE"/>
    <w:rsid w:val="006B5472"/>
    <w:rsid w:val="006E2512"/>
    <w:rsid w:val="006F366F"/>
    <w:rsid w:val="007138C2"/>
    <w:rsid w:val="00714169"/>
    <w:rsid w:val="007217F2"/>
    <w:rsid w:val="007458C1"/>
    <w:rsid w:val="00762984"/>
    <w:rsid w:val="00771C23"/>
    <w:rsid w:val="007B52C0"/>
    <w:rsid w:val="007B7E00"/>
    <w:rsid w:val="007C3C28"/>
    <w:rsid w:val="007C519E"/>
    <w:rsid w:val="007C6CE5"/>
    <w:rsid w:val="007D2105"/>
    <w:rsid w:val="007D3EBE"/>
    <w:rsid w:val="007D76F8"/>
    <w:rsid w:val="007D7B44"/>
    <w:rsid w:val="007F0EDD"/>
    <w:rsid w:val="007F200C"/>
    <w:rsid w:val="007F53AE"/>
    <w:rsid w:val="00802FD5"/>
    <w:rsid w:val="00815657"/>
    <w:rsid w:val="008170A1"/>
    <w:rsid w:val="008529AB"/>
    <w:rsid w:val="0085498B"/>
    <w:rsid w:val="00863E93"/>
    <w:rsid w:val="008916FA"/>
    <w:rsid w:val="008957C6"/>
    <w:rsid w:val="008C1640"/>
    <w:rsid w:val="0090295F"/>
    <w:rsid w:val="00907CAD"/>
    <w:rsid w:val="00941C93"/>
    <w:rsid w:val="00974196"/>
    <w:rsid w:val="00977E0D"/>
    <w:rsid w:val="0098514F"/>
    <w:rsid w:val="009915B2"/>
    <w:rsid w:val="0099483E"/>
    <w:rsid w:val="00997E2E"/>
    <w:rsid w:val="009A0624"/>
    <w:rsid w:val="009B4888"/>
    <w:rsid w:val="00A149CB"/>
    <w:rsid w:val="00A276F6"/>
    <w:rsid w:val="00A46355"/>
    <w:rsid w:val="00A96A40"/>
    <w:rsid w:val="00AA1D8D"/>
    <w:rsid w:val="00AC51FC"/>
    <w:rsid w:val="00AD19C4"/>
    <w:rsid w:val="00B22EB7"/>
    <w:rsid w:val="00B474BE"/>
    <w:rsid w:val="00B47730"/>
    <w:rsid w:val="00B54250"/>
    <w:rsid w:val="00B614EE"/>
    <w:rsid w:val="00B64A2E"/>
    <w:rsid w:val="00B71DB1"/>
    <w:rsid w:val="00B72F19"/>
    <w:rsid w:val="00B76CBE"/>
    <w:rsid w:val="00B94D44"/>
    <w:rsid w:val="00BA21C1"/>
    <w:rsid w:val="00BA4457"/>
    <w:rsid w:val="00BB7754"/>
    <w:rsid w:val="00BF1A0A"/>
    <w:rsid w:val="00BF3A0D"/>
    <w:rsid w:val="00C023B4"/>
    <w:rsid w:val="00C043D9"/>
    <w:rsid w:val="00C52C1F"/>
    <w:rsid w:val="00C5797C"/>
    <w:rsid w:val="00C627A4"/>
    <w:rsid w:val="00C6492A"/>
    <w:rsid w:val="00C663DF"/>
    <w:rsid w:val="00C72784"/>
    <w:rsid w:val="00CB0664"/>
    <w:rsid w:val="00CE3CE1"/>
    <w:rsid w:val="00CF5767"/>
    <w:rsid w:val="00D010F1"/>
    <w:rsid w:val="00D15D18"/>
    <w:rsid w:val="00D263DA"/>
    <w:rsid w:val="00D27B0B"/>
    <w:rsid w:val="00D3559E"/>
    <w:rsid w:val="00D62385"/>
    <w:rsid w:val="00D65F24"/>
    <w:rsid w:val="00D94679"/>
    <w:rsid w:val="00DD799D"/>
    <w:rsid w:val="00DE34DD"/>
    <w:rsid w:val="00E42075"/>
    <w:rsid w:val="00E5048C"/>
    <w:rsid w:val="00E60372"/>
    <w:rsid w:val="00E71416"/>
    <w:rsid w:val="00EA0966"/>
    <w:rsid w:val="00EC77A7"/>
    <w:rsid w:val="00EE6865"/>
    <w:rsid w:val="00EE6F82"/>
    <w:rsid w:val="00F038E0"/>
    <w:rsid w:val="00F10FB7"/>
    <w:rsid w:val="00F35958"/>
    <w:rsid w:val="00F46663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76CB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6CB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76CBE"/>
    <w:pPr>
      <w:spacing w:after="100"/>
      <w:ind w:left="440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217F2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217F2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styleId="NormalWeb">
    <w:name w:val="Normal (Web)"/>
    <w:basedOn w:val="Normal"/>
    <w:uiPriority w:val="99"/>
    <w:semiHidden/>
    <w:unhideWhenUsed/>
    <w:rsid w:val="007217F2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7217F2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986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 Polanco</cp:lastModifiedBy>
  <cp:revision>68</cp:revision>
  <cp:lastPrinted>2026-01-20T21:57:00Z</cp:lastPrinted>
  <dcterms:created xsi:type="dcterms:W3CDTF">2026-02-13T01:04:00Z</dcterms:created>
  <dcterms:modified xsi:type="dcterms:W3CDTF">2026-06-01T21:49:00Z</dcterms:modified>
  <cp:category/>
</cp:coreProperties>
</file>